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2"/>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8B7361" w:rsidRPr="00BC74EF" w14:paraId="19A1AA0B" w14:textId="77777777" w:rsidTr="00DE206F">
        <w:trPr>
          <w:cantSplit/>
          <w:trHeight w:hRule="exact" w:val="851"/>
        </w:trPr>
        <w:tc>
          <w:tcPr>
            <w:tcW w:w="1276" w:type="dxa"/>
            <w:tcBorders>
              <w:bottom w:val="single" w:sz="4" w:space="0" w:color="auto"/>
            </w:tcBorders>
            <w:vAlign w:val="bottom"/>
          </w:tcPr>
          <w:p w14:paraId="306FE1C1" w14:textId="77777777" w:rsidR="008B7361" w:rsidRPr="00BC74EF" w:rsidRDefault="0037466D" w:rsidP="008B7361">
            <w:pPr>
              <w:spacing w:after="80"/>
              <w:rPr>
                <w:rFonts w:eastAsia="Times New Roman"/>
                <w:lang w:val="nl-NL"/>
              </w:rPr>
            </w:pPr>
            <w:r w:rsidRPr="00BC74EF">
              <w:rPr>
                <w:rFonts w:eastAsia="Times New Roman"/>
                <w:lang w:val="nl-NL"/>
              </w:rPr>
              <w:t xml:space="preserve"> </w:t>
            </w:r>
          </w:p>
        </w:tc>
        <w:tc>
          <w:tcPr>
            <w:tcW w:w="2268" w:type="dxa"/>
            <w:tcBorders>
              <w:bottom w:val="single" w:sz="4" w:space="0" w:color="auto"/>
            </w:tcBorders>
            <w:vAlign w:val="bottom"/>
          </w:tcPr>
          <w:p w14:paraId="4F347B02" w14:textId="77777777" w:rsidR="00F6202B" w:rsidRPr="00BC74EF" w:rsidRDefault="002755DB">
            <w:pPr>
              <w:spacing w:after="80" w:line="300" w:lineRule="exact"/>
              <w:rPr>
                <w:rFonts w:eastAsia="Times New Roman"/>
                <w:b/>
                <w:sz w:val="24"/>
                <w:szCs w:val="24"/>
                <w:lang w:val="nl-NL"/>
              </w:rPr>
            </w:pPr>
            <w:r w:rsidRPr="00BC74EF">
              <w:rPr>
                <w:rFonts w:eastAsia="Times New Roman"/>
                <w:sz w:val="28"/>
                <w:szCs w:val="28"/>
                <w:lang w:val="nl-NL"/>
              </w:rPr>
              <w:t>Verenigde Naties</w:t>
            </w:r>
          </w:p>
        </w:tc>
        <w:tc>
          <w:tcPr>
            <w:tcW w:w="6095" w:type="dxa"/>
            <w:gridSpan w:val="2"/>
            <w:tcBorders>
              <w:bottom w:val="single" w:sz="4" w:space="0" w:color="auto"/>
            </w:tcBorders>
            <w:vAlign w:val="bottom"/>
          </w:tcPr>
          <w:p w14:paraId="2B5FEA06" w14:textId="77777777" w:rsidR="00F6202B" w:rsidRPr="00BC74EF" w:rsidRDefault="00343E1C">
            <w:pPr>
              <w:suppressAutoHyphens w:val="0"/>
              <w:spacing w:after="20"/>
              <w:jc w:val="right"/>
              <w:rPr>
                <w:rFonts w:eastAsia="Times New Roman"/>
                <w:lang w:val="nl-NL"/>
              </w:rPr>
            </w:pPr>
            <w:r w:rsidRPr="00BC74EF">
              <w:rPr>
                <w:rFonts w:eastAsia="Times New Roman"/>
                <w:lang w:val="nl-NL"/>
              </w:rPr>
              <w:t>CRPD/C/GC/8</w:t>
            </w:r>
          </w:p>
        </w:tc>
      </w:tr>
      <w:tr w:rsidR="008B7361" w:rsidRPr="00BC74EF" w14:paraId="2317C244" w14:textId="77777777" w:rsidTr="00DE206F">
        <w:trPr>
          <w:cantSplit/>
          <w:trHeight w:hRule="exact" w:val="2835"/>
        </w:trPr>
        <w:tc>
          <w:tcPr>
            <w:tcW w:w="1276" w:type="dxa"/>
            <w:tcBorders>
              <w:top w:val="single" w:sz="4" w:space="0" w:color="auto"/>
              <w:bottom w:val="single" w:sz="12" w:space="0" w:color="auto"/>
            </w:tcBorders>
          </w:tcPr>
          <w:p w14:paraId="6A0534DF" w14:textId="77777777" w:rsidR="008B7361" w:rsidRPr="00BC74EF" w:rsidRDefault="008B7361" w:rsidP="008B7361">
            <w:pPr>
              <w:spacing w:before="120"/>
              <w:jc w:val="center"/>
              <w:rPr>
                <w:rFonts w:eastAsia="Times New Roman"/>
                <w:lang w:val="nl-NL"/>
              </w:rPr>
            </w:pPr>
            <w:r w:rsidRPr="00BC74EF">
              <w:rPr>
                <w:rFonts w:eastAsia="Times New Roman"/>
                <w:noProof/>
                <w:lang w:val="nl-NL" w:eastAsia="en-GB"/>
              </w:rPr>
              <w:drawing>
                <wp:inline distT="0" distB="0" distL="0" distR="0" wp14:anchorId="0C9FD337" wp14:editId="6A76A0B2">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349401"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4CA36C9" w14:textId="77777777" w:rsidR="00F6202B" w:rsidRPr="00BC74EF" w:rsidRDefault="002755DB">
            <w:pPr>
              <w:spacing w:before="120" w:line="380" w:lineRule="exact"/>
              <w:rPr>
                <w:rFonts w:eastAsia="Times New Roman"/>
                <w:lang w:val="nl-NL"/>
              </w:rPr>
            </w:pPr>
            <w:r w:rsidRPr="00BC74EF">
              <w:rPr>
                <w:rFonts w:eastAsia="Times New Roman"/>
                <w:b/>
                <w:sz w:val="34"/>
                <w:szCs w:val="40"/>
                <w:lang w:val="nl-NL"/>
              </w:rPr>
              <w:t xml:space="preserve">Verdrag inzake de rechten </w:t>
            </w:r>
            <w:r w:rsidRPr="00BC74EF">
              <w:rPr>
                <w:rFonts w:eastAsia="Times New Roman"/>
                <w:b/>
                <w:sz w:val="34"/>
                <w:szCs w:val="40"/>
                <w:lang w:val="nl-NL"/>
              </w:rPr>
              <w:br/>
              <w:t>van personen met een handicap</w:t>
            </w:r>
          </w:p>
        </w:tc>
        <w:tc>
          <w:tcPr>
            <w:tcW w:w="2835" w:type="dxa"/>
            <w:tcBorders>
              <w:top w:val="single" w:sz="4" w:space="0" w:color="auto"/>
              <w:bottom w:val="single" w:sz="12" w:space="0" w:color="auto"/>
            </w:tcBorders>
          </w:tcPr>
          <w:p w14:paraId="3CA4ACD0" w14:textId="77777777" w:rsidR="00F6202B" w:rsidRPr="00BC74EF" w:rsidRDefault="002755DB">
            <w:pPr>
              <w:suppressAutoHyphens w:val="0"/>
              <w:spacing w:before="240" w:line="240" w:lineRule="exact"/>
              <w:rPr>
                <w:rFonts w:eastAsia="Times New Roman"/>
                <w:lang w:val="nl-NL"/>
              </w:rPr>
            </w:pPr>
            <w:r w:rsidRPr="00BC74EF">
              <w:rPr>
                <w:rFonts w:eastAsia="Times New Roman"/>
                <w:lang w:val="nl-NL"/>
              </w:rPr>
              <w:t xml:space="preserve">Distr.: </w:t>
            </w:r>
            <w:r w:rsidR="00343E1C" w:rsidRPr="00BC74EF">
              <w:rPr>
                <w:rFonts w:eastAsia="Times New Roman"/>
                <w:lang w:val="nl-NL"/>
              </w:rPr>
              <w:t>Algemeen</w:t>
            </w:r>
          </w:p>
          <w:p w14:paraId="148681B4" w14:textId="4A3A4E67" w:rsidR="00F6202B" w:rsidRPr="00BC74EF" w:rsidRDefault="00426269">
            <w:pPr>
              <w:suppressAutoHyphens w:val="0"/>
              <w:rPr>
                <w:rFonts w:eastAsia="Times New Roman"/>
                <w:lang w:val="nl-NL"/>
              </w:rPr>
            </w:pPr>
            <w:r>
              <w:rPr>
                <w:rFonts w:eastAsia="Times New Roman"/>
                <w:lang w:val="nl-NL"/>
              </w:rPr>
              <w:t>8</w:t>
            </w:r>
            <w:r w:rsidRPr="00BC74EF">
              <w:rPr>
                <w:rFonts w:eastAsia="Times New Roman"/>
                <w:lang w:val="nl-NL"/>
              </w:rPr>
              <w:t xml:space="preserve"> </w:t>
            </w:r>
            <w:r>
              <w:rPr>
                <w:rFonts w:eastAsia="Times New Roman"/>
                <w:lang w:val="nl-NL"/>
              </w:rPr>
              <w:t>oktober</w:t>
            </w:r>
            <w:r w:rsidR="002C634A" w:rsidRPr="00BC74EF">
              <w:rPr>
                <w:rFonts w:eastAsia="Times New Roman"/>
                <w:lang w:val="nl-NL"/>
              </w:rPr>
              <w:t xml:space="preserve"> </w:t>
            </w:r>
            <w:r w:rsidR="008B7361" w:rsidRPr="00BC74EF">
              <w:rPr>
                <w:rFonts w:eastAsia="Times New Roman"/>
                <w:lang w:val="nl-NL"/>
              </w:rPr>
              <w:t>2022</w:t>
            </w:r>
          </w:p>
          <w:p w14:paraId="08EBD950" w14:textId="5B5E45CB" w:rsidR="008B7361" w:rsidRPr="00BF6216" w:rsidRDefault="00BF6216" w:rsidP="008B7361">
            <w:pPr>
              <w:suppressAutoHyphens w:val="0"/>
              <w:rPr>
                <w:rFonts w:eastAsia="Times New Roman"/>
                <w:b/>
                <w:lang w:val="nl-NL"/>
              </w:rPr>
            </w:pPr>
            <w:r>
              <w:rPr>
                <w:rFonts w:eastAsia="Times New Roman"/>
                <w:b/>
                <w:lang w:val="nl-NL"/>
              </w:rPr>
              <w:t>Nederlands</w:t>
            </w:r>
          </w:p>
          <w:p w14:paraId="5AFC7B6C" w14:textId="6A9A4489" w:rsidR="00F6202B" w:rsidRPr="00BC74EF" w:rsidRDefault="002755DB">
            <w:pPr>
              <w:suppressAutoHyphens w:val="0"/>
              <w:rPr>
                <w:rFonts w:eastAsia="Times New Roman"/>
                <w:lang w:val="nl-NL"/>
              </w:rPr>
            </w:pPr>
            <w:r w:rsidRPr="00BF6216">
              <w:rPr>
                <w:rFonts w:eastAsia="Times New Roman"/>
                <w:lang w:val="nl-NL"/>
              </w:rPr>
              <w:t>Origineel: E</w:t>
            </w:r>
            <w:r w:rsidRPr="00154A96">
              <w:rPr>
                <w:rFonts w:eastAsia="Times New Roman"/>
                <w:lang w:val="nl-NL"/>
              </w:rPr>
              <w:t>ngels</w:t>
            </w:r>
            <w:r w:rsidR="00BF6216" w:rsidRPr="00154A96">
              <w:rPr>
                <w:rFonts w:eastAsia="Times New Roman"/>
                <w:lang w:val="nl-NL"/>
              </w:rPr>
              <w:t>. Vertaald uit het Frans</w:t>
            </w:r>
          </w:p>
        </w:tc>
      </w:tr>
    </w:tbl>
    <w:p w14:paraId="618470FC" w14:textId="77777777" w:rsidR="00F6202B" w:rsidRPr="00BC74EF" w:rsidRDefault="002755DB">
      <w:pPr>
        <w:spacing w:before="120"/>
        <w:rPr>
          <w:b/>
          <w:bCs/>
          <w:sz w:val="24"/>
          <w:szCs w:val="24"/>
          <w:lang w:val="nl-NL"/>
        </w:rPr>
      </w:pPr>
      <w:r w:rsidRPr="00BC74EF">
        <w:rPr>
          <w:b/>
          <w:bCs/>
          <w:sz w:val="24"/>
          <w:szCs w:val="24"/>
          <w:lang w:val="nl-NL"/>
        </w:rPr>
        <w:t>Comité voor de rechten van personen met een handicap</w:t>
      </w:r>
    </w:p>
    <w:p w14:paraId="30EF5BEC" w14:textId="000FEFE2" w:rsidR="00F6202B" w:rsidRPr="00BC74EF" w:rsidRDefault="002755DB">
      <w:pPr>
        <w:pStyle w:val="HChG"/>
        <w:rPr>
          <w:lang w:val="nl-NL"/>
        </w:rPr>
      </w:pPr>
      <w:r w:rsidRPr="00BC74EF">
        <w:rPr>
          <w:lang w:val="nl-NL"/>
        </w:rPr>
        <w:tab/>
      </w:r>
      <w:r w:rsidRPr="00BC74EF">
        <w:rPr>
          <w:lang w:val="nl-NL"/>
        </w:rPr>
        <w:tab/>
      </w:r>
      <w:r w:rsidR="003C5AB4" w:rsidRPr="00BC74EF">
        <w:rPr>
          <w:lang w:val="nl-NL"/>
        </w:rPr>
        <w:t>Algeme</w:t>
      </w:r>
      <w:r w:rsidR="00BF6216">
        <w:rPr>
          <w:lang w:val="nl-NL"/>
        </w:rPr>
        <w:t>ne</w:t>
      </w:r>
      <w:r w:rsidR="003C5AB4" w:rsidRPr="00BC74EF">
        <w:rPr>
          <w:lang w:val="nl-NL"/>
        </w:rPr>
        <w:t xml:space="preserve"> commentaar </w:t>
      </w:r>
      <w:r w:rsidR="00343E1C" w:rsidRPr="00BC74EF">
        <w:rPr>
          <w:lang w:val="nl-NL"/>
        </w:rPr>
        <w:t xml:space="preserve">nr. 8 (2022) </w:t>
      </w:r>
      <w:r w:rsidR="003C5AB4" w:rsidRPr="00BC74EF">
        <w:rPr>
          <w:lang w:val="nl-NL"/>
        </w:rPr>
        <w:t>over het recht van personen met een handicap op werk en</w:t>
      </w:r>
      <w:r w:rsidR="006562DE" w:rsidRPr="00BC74EF">
        <w:rPr>
          <w:lang w:val="nl-NL"/>
        </w:rPr>
        <w:t xml:space="preserve"> wer</w:t>
      </w:r>
      <w:r w:rsidR="007971E7">
        <w:rPr>
          <w:lang w:val="nl-NL"/>
        </w:rPr>
        <w:t>k</w:t>
      </w:r>
      <w:r w:rsidR="006562DE" w:rsidRPr="00BC74EF">
        <w:rPr>
          <w:lang w:val="nl-NL"/>
        </w:rPr>
        <w:t>gelegenheid</w:t>
      </w:r>
      <w:r w:rsidR="00154A96">
        <w:rPr>
          <w:lang w:val="nl-NL"/>
        </w:rPr>
        <w:t>.</w:t>
      </w:r>
      <w:r w:rsidR="00154A96" w:rsidRPr="00301F00">
        <w:rPr>
          <w:rStyle w:val="Voetnootmarkering"/>
          <w:b w:val="0"/>
          <w:bCs/>
          <w:sz w:val="28"/>
          <w:szCs w:val="28"/>
          <w:lang w:val="nl-BE"/>
        </w:rPr>
        <w:footnoteReference w:customMarkFollows="1" w:id="1"/>
        <w:t>*</w:t>
      </w:r>
    </w:p>
    <w:p w14:paraId="69A6478C" w14:textId="77777777" w:rsidR="00F6202B" w:rsidRPr="00BC74EF" w:rsidRDefault="002755DB">
      <w:pPr>
        <w:pStyle w:val="HChG"/>
        <w:rPr>
          <w:lang w:val="nl-NL"/>
        </w:rPr>
      </w:pPr>
      <w:r w:rsidRPr="00BC74EF">
        <w:rPr>
          <w:lang w:val="nl-NL"/>
        </w:rPr>
        <w:tab/>
        <w:t>I.</w:t>
      </w:r>
      <w:r w:rsidRPr="00BC74EF">
        <w:rPr>
          <w:lang w:val="nl-NL"/>
        </w:rPr>
        <w:tab/>
      </w:r>
      <w:r w:rsidRPr="00BC74EF">
        <w:rPr>
          <w:lang w:val="nl-NL"/>
        </w:rPr>
        <w:tab/>
        <w:t>Inleiding</w:t>
      </w:r>
    </w:p>
    <w:p w14:paraId="2B13A565" w14:textId="45ADDE9C" w:rsidR="00F6202B" w:rsidRPr="00BC74EF" w:rsidRDefault="002755DB">
      <w:pPr>
        <w:pStyle w:val="SingleTxtG"/>
        <w:tabs>
          <w:tab w:val="clear" w:pos="2268"/>
        </w:tabs>
        <w:rPr>
          <w:lang w:val="nl-NL"/>
        </w:rPr>
      </w:pPr>
      <w:r w:rsidRPr="00BC74EF">
        <w:rPr>
          <w:lang w:val="nl-NL"/>
        </w:rPr>
        <w:t>1.</w:t>
      </w:r>
      <w:r w:rsidRPr="00BC74EF">
        <w:rPr>
          <w:lang w:val="nl-NL"/>
        </w:rPr>
        <w:tab/>
      </w:r>
      <w:r w:rsidR="00BF6216">
        <w:rPr>
          <w:lang w:val="nl-NL"/>
        </w:rPr>
        <w:t>Deze</w:t>
      </w:r>
      <w:r w:rsidR="003C5AB4" w:rsidRPr="00BC74EF">
        <w:rPr>
          <w:lang w:val="nl-NL"/>
        </w:rPr>
        <w:t xml:space="preserve"> </w:t>
      </w:r>
      <w:r w:rsidR="00BF6216">
        <w:rPr>
          <w:lang w:val="nl-NL"/>
        </w:rPr>
        <w:t xml:space="preserve">algemene commentaar </w:t>
      </w:r>
      <w:r w:rsidR="003C5AB4" w:rsidRPr="00BC74EF">
        <w:rPr>
          <w:lang w:val="nl-NL"/>
        </w:rPr>
        <w:t xml:space="preserve">is </w:t>
      </w:r>
      <w:r w:rsidR="00BF6216">
        <w:rPr>
          <w:lang w:val="nl-NL"/>
        </w:rPr>
        <w:t xml:space="preserve">bedoeld om </w:t>
      </w:r>
      <w:r w:rsidR="003C5AB4" w:rsidRPr="00BC74EF">
        <w:rPr>
          <w:lang w:val="nl-NL"/>
        </w:rPr>
        <w:t xml:space="preserve">de verplichtingen van de </w:t>
      </w:r>
      <w:r w:rsidR="003001A8">
        <w:rPr>
          <w:lang w:val="nl-NL"/>
        </w:rPr>
        <w:t>Staten die Partij</w:t>
      </w:r>
      <w:r w:rsidR="003C5AB4" w:rsidRPr="00BC74EF">
        <w:rPr>
          <w:lang w:val="nl-NL"/>
        </w:rPr>
        <w:t xml:space="preserve"> zijn te verduidelijken met betrekking tot het recht op werk en werkgelegenheid zoals vastgelegd in artikel 27 van het </w:t>
      </w:r>
      <w:r w:rsidR="00BF6216">
        <w:rPr>
          <w:lang w:val="nl-NL"/>
        </w:rPr>
        <w:t>V</w:t>
      </w:r>
      <w:r w:rsidR="003C5AB4" w:rsidRPr="00BC74EF">
        <w:rPr>
          <w:lang w:val="nl-NL"/>
        </w:rPr>
        <w:t>erdrag</w:t>
      </w:r>
      <w:r w:rsidR="00BF6216">
        <w:rPr>
          <w:lang w:val="nl-NL"/>
        </w:rPr>
        <w:t xml:space="preserve"> inzake de rechten van personen met een handicap (hierna “het Verdrag”)</w:t>
      </w:r>
      <w:r w:rsidR="003C5AB4" w:rsidRPr="00BC74EF">
        <w:rPr>
          <w:lang w:val="nl-NL"/>
        </w:rPr>
        <w:t xml:space="preserve">. Het </w:t>
      </w:r>
      <w:r w:rsidR="00BF6216">
        <w:rPr>
          <w:lang w:val="nl-NL"/>
        </w:rPr>
        <w:t>V</w:t>
      </w:r>
      <w:r w:rsidR="003C5AB4" w:rsidRPr="00BC74EF">
        <w:rPr>
          <w:lang w:val="nl-NL"/>
        </w:rPr>
        <w:t xml:space="preserve">erdrag bevat de beginselen en normen van het recht </w:t>
      </w:r>
      <w:r w:rsidR="00C30A90" w:rsidRPr="00BC74EF">
        <w:rPr>
          <w:lang w:val="nl-NL"/>
        </w:rPr>
        <w:t xml:space="preserve">van </w:t>
      </w:r>
      <w:r w:rsidR="003C5AB4" w:rsidRPr="00BC74EF">
        <w:rPr>
          <w:lang w:val="nl-NL"/>
        </w:rPr>
        <w:t xml:space="preserve">personen met een handicap </w:t>
      </w:r>
      <w:r w:rsidR="00C30A90" w:rsidRPr="00BC74EF">
        <w:rPr>
          <w:lang w:val="nl-NL"/>
        </w:rPr>
        <w:t xml:space="preserve">op werk en werkgelegenheid, </w:t>
      </w:r>
      <w:r w:rsidR="003C5AB4" w:rsidRPr="00BC74EF">
        <w:rPr>
          <w:lang w:val="nl-NL"/>
        </w:rPr>
        <w:t xml:space="preserve">en vormt de basis voor de </w:t>
      </w:r>
      <w:r w:rsidR="003001A8">
        <w:rPr>
          <w:lang w:val="nl-NL"/>
        </w:rPr>
        <w:t>Staten die Partij</w:t>
      </w:r>
      <w:r w:rsidR="00E415FB" w:rsidRPr="00BC74EF">
        <w:rPr>
          <w:lang w:val="nl-NL"/>
        </w:rPr>
        <w:t xml:space="preserve"> zijn </w:t>
      </w:r>
      <w:r w:rsidR="003C5AB4" w:rsidRPr="00BC74EF">
        <w:rPr>
          <w:lang w:val="nl-NL"/>
        </w:rPr>
        <w:t xml:space="preserve">om hun </w:t>
      </w:r>
      <w:r w:rsidR="00BF6216">
        <w:rPr>
          <w:lang w:val="nl-NL"/>
        </w:rPr>
        <w:t>verbintenissen</w:t>
      </w:r>
      <w:r w:rsidR="00EF2AE3" w:rsidRPr="00BC74EF">
        <w:rPr>
          <w:lang w:val="nl-NL"/>
        </w:rPr>
        <w:t xml:space="preserve"> </w:t>
      </w:r>
      <w:r w:rsidR="003C5AB4" w:rsidRPr="00BC74EF">
        <w:rPr>
          <w:lang w:val="nl-NL"/>
        </w:rPr>
        <w:t>in het kader van de</w:t>
      </w:r>
      <w:bookmarkStart w:id="0" w:name="_Hlk104550166"/>
      <w:r w:rsidR="003C5AB4" w:rsidRPr="00BC74EF">
        <w:rPr>
          <w:lang w:val="nl-NL"/>
        </w:rPr>
        <w:t xml:space="preserve"> Duurzame Ontwikkelingsdoe</w:t>
      </w:r>
      <w:r w:rsidR="00575031">
        <w:rPr>
          <w:lang w:val="nl-NL"/>
        </w:rPr>
        <w:t>lstellingen</w:t>
      </w:r>
      <w:r w:rsidR="003C5AB4" w:rsidRPr="00BC74EF">
        <w:rPr>
          <w:lang w:val="nl-NL"/>
        </w:rPr>
        <w:t xml:space="preserve"> na te komen, met name doelstelling 8.5</w:t>
      </w:r>
      <w:r w:rsidR="00DE206F" w:rsidRPr="00BC74EF">
        <w:rPr>
          <w:lang w:val="nl-NL"/>
        </w:rPr>
        <w:t>, betreffende het bereiken</w:t>
      </w:r>
      <w:r w:rsidR="00575031">
        <w:rPr>
          <w:lang w:val="nl-NL"/>
        </w:rPr>
        <w:t xml:space="preserve"> </w:t>
      </w:r>
      <w:r w:rsidR="00DE206F" w:rsidRPr="00BC74EF">
        <w:rPr>
          <w:lang w:val="nl-NL"/>
        </w:rPr>
        <w:t xml:space="preserve">van </w:t>
      </w:r>
      <w:r w:rsidR="003C5AB4" w:rsidRPr="00BC74EF">
        <w:rPr>
          <w:lang w:val="nl-NL"/>
        </w:rPr>
        <w:t xml:space="preserve">volledige en productieve werkgelegenheid en fatsoenlijk werk voor alle </w:t>
      </w:r>
      <w:r w:rsidR="00575031">
        <w:rPr>
          <w:lang w:val="nl-NL"/>
        </w:rPr>
        <w:t>vrouwen en mannen</w:t>
      </w:r>
      <w:r w:rsidR="003C5AB4" w:rsidRPr="00BC74EF">
        <w:rPr>
          <w:lang w:val="nl-NL"/>
        </w:rPr>
        <w:t>, met inbegrip van personen met een handicap, en gelijke beloning voor arbeid van gelijke waarde</w:t>
      </w:r>
      <w:bookmarkEnd w:id="0"/>
      <w:r w:rsidR="00575031">
        <w:rPr>
          <w:lang w:val="nl-NL"/>
        </w:rPr>
        <w:t xml:space="preserve"> tegen uiterlijk 2030</w:t>
      </w:r>
      <w:r w:rsidR="003C5AB4" w:rsidRPr="00BC74EF">
        <w:rPr>
          <w:lang w:val="nl-NL"/>
        </w:rPr>
        <w:t xml:space="preserve">. </w:t>
      </w:r>
    </w:p>
    <w:p w14:paraId="2BBCDDDF" w14:textId="4305B51E" w:rsidR="00F6202B" w:rsidRPr="00BC74EF" w:rsidRDefault="002755DB">
      <w:pPr>
        <w:pStyle w:val="SingleTxtG"/>
        <w:tabs>
          <w:tab w:val="clear" w:pos="2268"/>
        </w:tabs>
        <w:rPr>
          <w:lang w:val="nl-NL"/>
        </w:rPr>
      </w:pPr>
      <w:r w:rsidRPr="00BC74EF">
        <w:rPr>
          <w:lang w:val="nl-NL"/>
        </w:rPr>
        <w:t>2.</w:t>
      </w:r>
      <w:r w:rsidRPr="00BC74EF">
        <w:rPr>
          <w:lang w:val="nl-NL"/>
        </w:rPr>
        <w:tab/>
      </w:r>
      <w:r w:rsidR="003C5AB4" w:rsidRPr="00BC74EF">
        <w:rPr>
          <w:lang w:val="nl-NL"/>
        </w:rPr>
        <w:t xml:space="preserve">Het recht op arbeid is een </w:t>
      </w:r>
      <w:r w:rsidR="00575031">
        <w:rPr>
          <w:lang w:val="nl-NL"/>
        </w:rPr>
        <w:t>grond</w:t>
      </w:r>
      <w:r w:rsidR="003C5AB4" w:rsidRPr="00BC74EF">
        <w:rPr>
          <w:lang w:val="nl-NL"/>
        </w:rPr>
        <w:t>recht</w:t>
      </w:r>
      <w:r w:rsidR="00575031">
        <w:rPr>
          <w:lang w:val="nl-NL"/>
        </w:rPr>
        <w:t xml:space="preserve"> dat</w:t>
      </w:r>
      <w:r w:rsidR="003C5AB4" w:rsidRPr="00BC74EF">
        <w:rPr>
          <w:lang w:val="nl-NL"/>
        </w:rPr>
        <w:t xml:space="preserve"> essentieel </w:t>
      </w:r>
      <w:r w:rsidR="00575031">
        <w:rPr>
          <w:lang w:val="nl-NL"/>
        </w:rPr>
        <w:t xml:space="preserve">is </w:t>
      </w:r>
      <w:r w:rsidR="003C5AB4" w:rsidRPr="00BC74EF">
        <w:rPr>
          <w:lang w:val="nl-NL"/>
        </w:rPr>
        <w:t>voor de verwezenlijking van andere mensenrechten</w:t>
      </w:r>
      <w:r w:rsidR="00DE206F" w:rsidRPr="00BC74EF">
        <w:rPr>
          <w:lang w:val="nl-NL"/>
        </w:rPr>
        <w:t xml:space="preserve">, </w:t>
      </w:r>
      <w:r w:rsidR="003C5AB4" w:rsidRPr="00BC74EF">
        <w:rPr>
          <w:lang w:val="nl-NL"/>
        </w:rPr>
        <w:t xml:space="preserve">en vormt een onlosmakelijk en inherent onderdeel van de menselijke waardigheid. Het recht op arbeid draagt ook bij tot het </w:t>
      </w:r>
      <w:r w:rsidR="00575031">
        <w:rPr>
          <w:lang w:val="nl-NL"/>
        </w:rPr>
        <w:t>levensonderhoud</w:t>
      </w:r>
      <w:r w:rsidR="003C5AB4" w:rsidRPr="00BC74EF">
        <w:rPr>
          <w:lang w:val="nl-NL"/>
        </w:rPr>
        <w:t xml:space="preserve"> van </w:t>
      </w:r>
      <w:r w:rsidR="00D56CEE" w:rsidRPr="00BC74EF">
        <w:rPr>
          <w:lang w:val="nl-NL"/>
        </w:rPr>
        <w:t xml:space="preserve">personen </w:t>
      </w:r>
      <w:r w:rsidR="003C5AB4" w:rsidRPr="00BC74EF">
        <w:rPr>
          <w:lang w:val="nl-NL"/>
        </w:rPr>
        <w:t>en van hun gezin, en</w:t>
      </w:r>
      <w:r w:rsidR="00DE206F" w:rsidRPr="00BC74EF">
        <w:rPr>
          <w:lang w:val="nl-NL"/>
        </w:rPr>
        <w:t xml:space="preserve">, </w:t>
      </w:r>
      <w:r w:rsidR="003C5AB4" w:rsidRPr="00BC74EF">
        <w:rPr>
          <w:lang w:val="nl-NL"/>
        </w:rPr>
        <w:t xml:space="preserve">voor zover werk in vrijheid </w:t>
      </w:r>
      <w:r w:rsidR="00575031">
        <w:rPr>
          <w:lang w:val="nl-NL"/>
        </w:rPr>
        <w:t>is</w:t>
      </w:r>
      <w:r w:rsidR="003C5AB4" w:rsidRPr="00BC74EF">
        <w:rPr>
          <w:lang w:val="nl-NL"/>
        </w:rPr>
        <w:t xml:space="preserve"> gekozen of aanvaard, tot hun ontwikkeling en erkenning binnen de gemeenschap.</w:t>
      </w:r>
      <w:r w:rsidR="009B5C32" w:rsidRPr="00BC74EF">
        <w:rPr>
          <w:rStyle w:val="Voetnootmarkering"/>
          <w:lang w:val="nl-NL"/>
        </w:rPr>
        <w:footnoteReference w:id="2"/>
      </w:r>
      <w:r w:rsidR="003C5AB4" w:rsidRPr="00BC74EF">
        <w:rPr>
          <w:lang w:val="nl-NL"/>
        </w:rPr>
        <w:t xml:space="preserve"> Het recht op arbeid </w:t>
      </w:r>
      <w:r w:rsidR="00113BED">
        <w:rPr>
          <w:lang w:val="nl-NL"/>
        </w:rPr>
        <w:t>is vastgelegd</w:t>
      </w:r>
      <w:r w:rsidR="003C5AB4" w:rsidRPr="00BC74EF">
        <w:rPr>
          <w:lang w:val="nl-NL"/>
        </w:rPr>
        <w:t xml:space="preserve"> in verschillende internationale en regionale rechtsinstrumenten. </w:t>
      </w:r>
      <w:r w:rsidR="00575031">
        <w:rPr>
          <w:lang w:val="nl-NL"/>
        </w:rPr>
        <w:t>Artikel 6 van h</w:t>
      </w:r>
      <w:r w:rsidR="003C5AB4" w:rsidRPr="00BC74EF">
        <w:rPr>
          <w:lang w:val="nl-NL"/>
        </w:rPr>
        <w:t>et Internationaal Verdrag inzake economische, sociale en culturele rechten verklaart het recht op werk in algemene zin</w:t>
      </w:r>
      <w:r w:rsidR="00575031">
        <w:rPr>
          <w:lang w:val="nl-NL"/>
        </w:rPr>
        <w:t xml:space="preserve">. Artikel 7 </w:t>
      </w:r>
      <w:r w:rsidR="003C5AB4" w:rsidRPr="00BC74EF">
        <w:rPr>
          <w:lang w:val="nl-NL"/>
        </w:rPr>
        <w:t>werkt de individuele dimensie van het recht op werk expliciet uit door de erkenning van het recht van een ieder op rechtvaardige en gunstige arbeidsvoorwaarden, met name veilige arbeidsomstandigheden</w:t>
      </w:r>
      <w:bookmarkStart w:id="1" w:name="_Hlk83385248"/>
      <w:r w:rsidR="003C5AB4" w:rsidRPr="00BC74EF">
        <w:rPr>
          <w:lang w:val="nl-NL"/>
        </w:rPr>
        <w:t xml:space="preserve">. De collectieve dimensie van het recht op werk komt aan bod in artikel 8, waarin het recht van </w:t>
      </w:r>
      <w:r w:rsidR="00D56CEE" w:rsidRPr="00BC74EF">
        <w:rPr>
          <w:lang w:val="nl-NL"/>
        </w:rPr>
        <w:t xml:space="preserve">eenieder </w:t>
      </w:r>
      <w:r w:rsidR="003C5AB4" w:rsidRPr="00BC74EF">
        <w:rPr>
          <w:lang w:val="nl-NL"/>
        </w:rPr>
        <w:t xml:space="preserve">wordt vastgelegd om vakbonden op te richten en zich aan te sluiten bij de vakbond van zijn keuze </w:t>
      </w:r>
      <w:r w:rsidR="00330106" w:rsidRPr="00BC74EF">
        <w:rPr>
          <w:lang w:val="nl-NL"/>
        </w:rPr>
        <w:t xml:space="preserve">en het </w:t>
      </w:r>
      <w:r w:rsidR="003C5AB4" w:rsidRPr="00BC74EF">
        <w:rPr>
          <w:lang w:val="nl-NL"/>
        </w:rPr>
        <w:t>recht van vakbonden om vrij te functioneren</w:t>
      </w:r>
      <w:bookmarkEnd w:id="1"/>
      <w:r w:rsidR="003C5AB4" w:rsidRPr="00BC74EF">
        <w:rPr>
          <w:lang w:val="nl-NL"/>
        </w:rPr>
        <w:t>. Het Comité</w:t>
      </w:r>
      <w:r w:rsidR="00575031">
        <w:rPr>
          <w:lang w:val="nl-NL"/>
        </w:rPr>
        <w:t xml:space="preserve"> voor de rechten van personen met een handicap (hierna “het Comité)</w:t>
      </w:r>
      <w:r w:rsidR="003C5AB4" w:rsidRPr="00BC74EF">
        <w:rPr>
          <w:lang w:val="nl-NL"/>
        </w:rPr>
        <w:t xml:space="preserve"> heeft zich </w:t>
      </w:r>
      <w:r w:rsidR="00575031">
        <w:rPr>
          <w:lang w:val="nl-NL"/>
        </w:rPr>
        <w:t xml:space="preserve">bij de opstelling van deze algemene commentaar </w:t>
      </w:r>
      <w:r w:rsidR="003C5AB4" w:rsidRPr="00BC74EF">
        <w:rPr>
          <w:lang w:val="nl-NL"/>
        </w:rPr>
        <w:t xml:space="preserve">gebaseerd op zijn eigen jurisprudentie en die van het Comité voor economische, sociale en culturele rechten en andere mensenrechtenverdragsorganen. </w:t>
      </w:r>
    </w:p>
    <w:p w14:paraId="0798871C" w14:textId="057520E7" w:rsidR="00F6202B" w:rsidRPr="00BC74EF" w:rsidRDefault="002755DB">
      <w:pPr>
        <w:pStyle w:val="SingleTxtG"/>
        <w:tabs>
          <w:tab w:val="clear" w:pos="2268"/>
        </w:tabs>
        <w:rPr>
          <w:lang w:val="nl-NL"/>
        </w:rPr>
      </w:pPr>
      <w:r w:rsidRPr="00BC74EF">
        <w:rPr>
          <w:lang w:val="nl-NL"/>
        </w:rPr>
        <w:t>3.</w:t>
      </w:r>
      <w:r w:rsidRPr="00BC74EF">
        <w:rPr>
          <w:lang w:val="nl-NL"/>
        </w:rPr>
        <w:tab/>
      </w:r>
      <w:r w:rsidR="00113BED">
        <w:rPr>
          <w:lang w:val="nl-NL"/>
        </w:rPr>
        <w:t>Zin</w:t>
      </w:r>
      <w:r w:rsidR="003C5AB4" w:rsidRPr="00BC74EF">
        <w:rPr>
          <w:lang w:val="nl-NL"/>
        </w:rPr>
        <w:t xml:space="preserve">vol werk en werkgelegenheid zijn essentieel voor iemands economische zekerheid, lichamelijke en geestelijke gezondheid, persoonlijk welzijn en identiteitsgevoel. Het Comité is zich er echter van bewust dat een waardesysteem dat bekend staat als "activisme" de </w:t>
      </w:r>
      <w:r w:rsidR="00113BED">
        <w:rPr>
          <w:lang w:val="nl-NL"/>
        </w:rPr>
        <w:t>toegang</w:t>
      </w:r>
      <w:r w:rsidR="003C5AB4" w:rsidRPr="00BC74EF">
        <w:rPr>
          <w:lang w:val="nl-NL"/>
        </w:rPr>
        <w:t xml:space="preserve"> van veel</w:t>
      </w:r>
      <w:r w:rsidR="00FF34DA">
        <w:rPr>
          <w:lang w:val="nl-NL"/>
        </w:rPr>
        <w:t xml:space="preserve"> personen met een handicap </w:t>
      </w:r>
      <w:r w:rsidR="00113BED">
        <w:rPr>
          <w:lang w:val="nl-NL"/>
        </w:rPr>
        <w:t>tot</w:t>
      </w:r>
      <w:r w:rsidR="003C5AB4" w:rsidRPr="00BC74EF">
        <w:rPr>
          <w:lang w:val="nl-NL"/>
        </w:rPr>
        <w:t xml:space="preserve"> zinvol werk en </w:t>
      </w:r>
      <w:r w:rsidR="00113BED">
        <w:rPr>
          <w:lang w:val="nl-NL"/>
        </w:rPr>
        <w:t xml:space="preserve">werkgelegenheid </w:t>
      </w:r>
      <w:r w:rsidR="003C5AB4" w:rsidRPr="00BC74EF">
        <w:rPr>
          <w:lang w:val="nl-NL"/>
        </w:rPr>
        <w:t xml:space="preserve">negatief beïnvloedt. </w:t>
      </w:r>
      <w:r w:rsidR="00F95F1D">
        <w:rPr>
          <w:lang w:val="nl-NL"/>
        </w:rPr>
        <w:t>Validisme</w:t>
      </w:r>
      <w:r w:rsidR="00AE62FC" w:rsidRPr="00BC74EF">
        <w:rPr>
          <w:lang w:val="nl-NL"/>
        </w:rPr>
        <w:t xml:space="preserve"> </w:t>
      </w:r>
      <w:r w:rsidR="003C5AB4" w:rsidRPr="00BC74EF">
        <w:rPr>
          <w:lang w:val="nl-NL"/>
        </w:rPr>
        <w:t xml:space="preserve">en de gevolgen ervan </w:t>
      </w:r>
      <w:r w:rsidR="00AE62FC" w:rsidRPr="00BC74EF">
        <w:rPr>
          <w:lang w:val="nl-NL"/>
        </w:rPr>
        <w:t xml:space="preserve">zijn </w:t>
      </w:r>
      <w:r w:rsidR="00360A6D" w:rsidRPr="00BC74EF">
        <w:rPr>
          <w:lang w:val="nl-NL"/>
        </w:rPr>
        <w:t xml:space="preserve">omschreven </w:t>
      </w:r>
      <w:r w:rsidR="00D56CEE" w:rsidRPr="00BC74EF">
        <w:rPr>
          <w:lang w:val="nl-NL"/>
        </w:rPr>
        <w:t xml:space="preserve">als </w:t>
      </w:r>
      <w:r w:rsidR="003C5AB4" w:rsidRPr="00BC74EF">
        <w:rPr>
          <w:lang w:val="nl-NL"/>
        </w:rPr>
        <w:t>"een waardesysteem dat bepaalde typische kenmerken van lichaam en geest als essentieel beschouwt voor een waardevol leven. Gebaseerd op strikte normen voor uiterlijk, functioneren en gedrag, beschouwen '</w:t>
      </w:r>
      <w:proofErr w:type="spellStart"/>
      <w:r w:rsidR="00F95F1D">
        <w:rPr>
          <w:lang w:val="nl-NL"/>
        </w:rPr>
        <w:t>validistische</w:t>
      </w:r>
      <w:proofErr w:type="spellEnd"/>
      <w:r w:rsidR="003C5AB4" w:rsidRPr="00BC74EF">
        <w:rPr>
          <w:lang w:val="nl-NL"/>
        </w:rPr>
        <w:t xml:space="preserve">' denkwijzen een handicap als een ongeluk dat leidt tot lijden en </w:t>
      </w:r>
      <w:r w:rsidR="003C5AB4" w:rsidRPr="00BC74EF">
        <w:rPr>
          <w:lang w:val="nl-NL"/>
        </w:rPr>
        <w:lastRenderedPageBreak/>
        <w:t>achterstelling en steevast het menselijk leven devalueert."</w:t>
      </w:r>
      <w:r w:rsidR="00D56CEE" w:rsidRPr="00BC74EF">
        <w:rPr>
          <w:rStyle w:val="Voetnootmarkering"/>
          <w:lang w:val="nl-NL"/>
        </w:rPr>
        <w:footnoteReference w:id="3"/>
      </w:r>
      <w:bookmarkStart w:id="2" w:name="_Hlk82698037"/>
      <w:r w:rsidR="00F95F1D">
        <w:rPr>
          <w:lang w:val="nl-NL"/>
        </w:rPr>
        <w:t xml:space="preserve"> </w:t>
      </w:r>
      <w:r w:rsidR="00F95F1D" w:rsidRPr="00F95F1D">
        <w:rPr>
          <w:lang w:val="nl-NL"/>
        </w:rPr>
        <w:t>Validisme</w:t>
      </w:r>
      <w:r w:rsidR="003C5AB4" w:rsidRPr="00BC74EF">
        <w:rPr>
          <w:lang w:val="nl-NL"/>
        </w:rPr>
        <w:t xml:space="preserve"> ligt ten grondslag aan </w:t>
      </w:r>
      <w:r w:rsidR="008F0D8D" w:rsidRPr="00BC74EF">
        <w:rPr>
          <w:lang w:val="nl-NL"/>
        </w:rPr>
        <w:t xml:space="preserve">de medische en charitatieve modellen van handicap die leiden tot </w:t>
      </w:r>
      <w:r w:rsidR="003C5AB4" w:rsidRPr="00BC74EF">
        <w:rPr>
          <w:lang w:val="nl-NL"/>
        </w:rPr>
        <w:t>sociale vooroordelen</w:t>
      </w:r>
      <w:r w:rsidR="008F0D8D" w:rsidRPr="00BC74EF">
        <w:rPr>
          <w:lang w:val="nl-NL"/>
        </w:rPr>
        <w:t xml:space="preserve">, </w:t>
      </w:r>
      <w:r w:rsidR="003C5AB4" w:rsidRPr="00BC74EF">
        <w:rPr>
          <w:lang w:val="nl-NL"/>
        </w:rPr>
        <w:t xml:space="preserve">ongelijkheid en discriminatie van personen met een handicap, aangezien het </w:t>
      </w:r>
      <w:r w:rsidR="00CD3DFD" w:rsidRPr="00BC74EF">
        <w:rPr>
          <w:lang w:val="nl-NL"/>
        </w:rPr>
        <w:t xml:space="preserve">ten grondslag ligt aan </w:t>
      </w:r>
      <w:r w:rsidR="003C5AB4" w:rsidRPr="00BC74EF">
        <w:rPr>
          <w:lang w:val="nl-NL"/>
        </w:rPr>
        <w:t xml:space="preserve">wetgeving, beleid en praktijken zoals </w:t>
      </w:r>
      <w:r w:rsidR="003C5AB4" w:rsidRPr="00F95F1D">
        <w:rPr>
          <w:lang w:val="nl-NL"/>
        </w:rPr>
        <w:t>gesegregeerde</w:t>
      </w:r>
      <w:r w:rsidR="003C5AB4" w:rsidRPr="00BC74EF">
        <w:rPr>
          <w:lang w:val="nl-NL"/>
        </w:rPr>
        <w:t xml:space="preserve"> arbeid</w:t>
      </w:r>
      <w:r w:rsidR="00CD3DFD" w:rsidRPr="00BC74EF">
        <w:rPr>
          <w:lang w:val="nl-NL"/>
        </w:rPr>
        <w:t xml:space="preserve">, </w:t>
      </w:r>
      <w:r w:rsidR="003C5AB4" w:rsidRPr="00BC74EF">
        <w:rPr>
          <w:lang w:val="nl-NL"/>
        </w:rPr>
        <w:t xml:space="preserve">bijvoorbeeld </w:t>
      </w:r>
      <w:r w:rsidR="005539F8">
        <w:rPr>
          <w:lang w:val="nl-NL"/>
        </w:rPr>
        <w:t xml:space="preserve">in </w:t>
      </w:r>
      <w:r w:rsidR="00AA617C" w:rsidRPr="00BC74EF">
        <w:rPr>
          <w:lang w:val="nl-NL"/>
        </w:rPr>
        <w:t>"</w:t>
      </w:r>
      <w:r w:rsidR="003C5AB4" w:rsidRPr="00BC74EF">
        <w:rPr>
          <w:lang w:val="nl-NL"/>
        </w:rPr>
        <w:t>beschutte werkplaatsen"</w:t>
      </w:r>
      <w:bookmarkEnd w:id="2"/>
      <w:r w:rsidR="005539F8">
        <w:rPr>
          <w:lang w:val="nl-NL"/>
        </w:rPr>
        <w:t>,</w:t>
      </w:r>
      <w:r w:rsidR="008F7B14" w:rsidRPr="00BC74EF">
        <w:rPr>
          <w:lang w:val="nl-NL"/>
        </w:rPr>
        <w:t xml:space="preserve"> en </w:t>
      </w:r>
      <w:r w:rsidR="003C5AB4" w:rsidRPr="00BC74EF">
        <w:rPr>
          <w:lang w:val="nl-NL"/>
        </w:rPr>
        <w:t xml:space="preserve">kan </w:t>
      </w:r>
      <w:r w:rsidR="005539F8">
        <w:rPr>
          <w:lang w:val="nl-NL"/>
        </w:rPr>
        <w:t xml:space="preserve">ertoe </w:t>
      </w:r>
      <w:r w:rsidR="003C5AB4" w:rsidRPr="00BC74EF">
        <w:rPr>
          <w:lang w:val="nl-NL"/>
        </w:rPr>
        <w:t xml:space="preserve">leiden </w:t>
      </w:r>
      <w:r w:rsidR="005539F8">
        <w:rPr>
          <w:lang w:val="nl-NL"/>
        </w:rPr>
        <w:t>dat mensen tegen hun wil deelnemen aan</w:t>
      </w:r>
      <w:r w:rsidR="003C5AB4" w:rsidRPr="00BC74EF">
        <w:rPr>
          <w:lang w:val="nl-NL"/>
        </w:rPr>
        <w:t xml:space="preserve"> de informele economie.</w:t>
      </w:r>
    </w:p>
    <w:p w14:paraId="01840183" w14:textId="231B71F7" w:rsidR="00F6202B" w:rsidRPr="00BC74EF" w:rsidRDefault="002755DB">
      <w:pPr>
        <w:pStyle w:val="SingleTxtG"/>
        <w:tabs>
          <w:tab w:val="clear" w:pos="2268"/>
        </w:tabs>
        <w:rPr>
          <w:iCs/>
          <w:lang w:val="nl-NL"/>
        </w:rPr>
      </w:pPr>
      <w:r w:rsidRPr="00BC74EF">
        <w:rPr>
          <w:iCs/>
          <w:lang w:val="nl-NL"/>
        </w:rPr>
        <w:t>4.</w:t>
      </w:r>
      <w:r w:rsidRPr="00BC74EF">
        <w:rPr>
          <w:iCs/>
          <w:lang w:val="nl-NL"/>
        </w:rPr>
        <w:tab/>
      </w:r>
      <w:bookmarkStart w:id="3" w:name="_Hlk103947775"/>
      <w:r w:rsidR="003C5AB4" w:rsidRPr="00BC74EF">
        <w:rPr>
          <w:lang w:val="nl-NL"/>
        </w:rPr>
        <w:t xml:space="preserve">Personen met een handicap ondervinden </w:t>
      </w:r>
      <w:r w:rsidR="005539F8">
        <w:rPr>
          <w:lang w:val="nl-NL"/>
        </w:rPr>
        <w:t xml:space="preserve">allerlei </w:t>
      </w:r>
      <w:r w:rsidR="003C5AB4" w:rsidRPr="00BC74EF">
        <w:rPr>
          <w:lang w:val="nl-NL"/>
        </w:rPr>
        <w:t xml:space="preserve">belemmeringen bij de toegang </w:t>
      </w:r>
      <w:r w:rsidR="008F7B14" w:rsidRPr="00BC74EF">
        <w:rPr>
          <w:lang w:val="nl-NL"/>
        </w:rPr>
        <w:t xml:space="preserve">tot </w:t>
      </w:r>
      <w:r w:rsidR="003C5AB4" w:rsidRPr="00BC74EF">
        <w:rPr>
          <w:lang w:val="nl-NL"/>
        </w:rPr>
        <w:t xml:space="preserve">en de uitoefening </w:t>
      </w:r>
      <w:r w:rsidR="008F7B14" w:rsidRPr="00BC74EF">
        <w:rPr>
          <w:lang w:val="nl-NL"/>
        </w:rPr>
        <w:t xml:space="preserve">van </w:t>
      </w:r>
      <w:r w:rsidR="003C5AB4" w:rsidRPr="00BC74EF">
        <w:rPr>
          <w:lang w:val="nl-NL"/>
        </w:rPr>
        <w:t xml:space="preserve">hun recht op werk en werkgelegenheid op de open arbeidsmarkt, op voet van gelijkheid met </w:t>
      </w:r>
      <w:r w:rsidR="008F7B14" w:rsidRPr="00BC74EF">
        <w:rPr>
          <w:lang w:val="nl-NL"/>
        </w:rPr>
        <w:t>anderen</w:t>
      </w:r>
      <w:r w:rsidR="003C5AB4" w:rsidRPr="00BC74EF">
        <w:rPr>
          <w:lang w:val="nl-NL"/>
        </w:rPr>
        <w:t>.</w:t>
      </w:r>
      <w:bookmarkEnd w:id="3"/>
      <w:r w:rsidR="00FF34DA">
        <w:rPr>
          <w:lang w:val="nl-NL"/>
        </w:rPr>
        <w:t xml:space="preserve"> </w:t>
      </w:r>
      <w:r w:rsidR="00487E79">
        <w:rPr>
          <w:lang w:val="nl-NL"/>
        </w:rPr>
        <w:t>Zij</w:t>
      </w:r>
      <w:r w:rsidR="00FF34DA">
        <w:rPr>
          <w:lang w:val="nl-NL"/>
        </w:rPr>
        <w:t xml:space="preserve"> </w:t>
      </w:r>
      <w:r w:rsidR="003C5AB4" w:rsidRPr="00BC74EF">
        <w:rPr>
          <w:lang w:val="nl-NL"/>
        </w:rPr>
        <w:t xml:space="preserve">worden geconfronteerd met hoge werkloosheidscijfers, lagere lonen, </w:t>
      </w:r>
      <w:proofErr w:type="spellStart"/>
      <w:r w:rsidR="00487E79">
        <w:rPr>
          <w:lang w:val="nl-NL"/>
        </w:rPr>
        <w:t>jobonzekerheid</w:t>
      </w:r>
      <w:proofErr w:type="spellEnd"/>
      <w:r w:rsidR="003C5AB4" w:rsidRPr="00BC74EF">
        <w:rPr>
          <w:lang w:val="nl-NL"/>
        </w:rPr>
        <w:t xml:space="preserve">, </w:t>
      </w:r>
      <w:r w:rsidR="00487E79">
        <w:rPr>
          <w:lang w:val="nl-NL"/>
        </w:rPr>
        <w:t>slechtere</w:t>
      </w:r>
      <w:r w:rsidR="003C5AB4" w:rsidRPr="00BC74EF">
        <w:rPr>
          <w:lang w:val="nl-NL"/>
        </w:rPr>
        <w:t xml:space="preserve"> arbeidsvoorwaarden, gebrek aan toegankelijkheid </w:t>
      </w:r>
      <w:r w:rsidR="008F7B14" w:rsidRPr="00BC74EF">
        <w:rPr>
          <w:lang w:val="nl-NL"/>
        </w:rPr>
        <w:t xml:space="preserve">van </w:t>
      </w:r>
      <w:r w:rsidR="003C5AB4" w:rsidRPr="00BC74EF">
        <w:rPr>
          <w:lang w:val="nl-NL"/>
        </w:rPr>
        <w:t xml:space="preserve">de werkomgeving, en hebben ook minder kans </w:t>
      </w:r>
      <w:r w:rsidR="00E429BF" w:rsidRPr="00BC74EF">
        <w:rPr>
          <w:lang w:val="nl-NL"/>
        </w:rPr>
        <w:t xml:space="preserve">dan </w:t>
      </w:r>
      <w:r w:rsidR="00D169F3" w:rsidRPr="00BC74EF">
        <w:rPr>
          <w:lang w:val="nl-NL"/>
        </w:rPr>
        <w:t>andere</w:t>
      </w:r>
      <w:r w:rsidR="00487E79">
        <w:rPr>
          <w:lang w:val="nl-NL"/>
        </w:rPr>
        <w:t>n</w:t>
      </w:r>
      <w:r w:rsidR="00E429BF" w:rsidRPr="00BC74EF">
        <w:rPr>
          <w:lang w:val="nl-NL"/>
        </w:rPr>
        <w:t xml:space="preserve"> </w:t>
      </w:r>
      <w:r w:rsidR="003C5AB4" w:rsidRPr="00BC74EF">
        <w:rPr>
          <w:lang w:val="nl-NL"/>
        </w:rPr>
        <w:t xml:space="preserve">om </w:t>
      </w:r>
      <w:r w:rsidR="008F7B14" w:rsidRPr="00BC74EF">
        <w:rPr>
          <w:lang w:val="nl-NL"/>
        </w:rPr>
        <w:t xml:space="preserve">in </w:t>
      </w:r>
      <w:r w:rsidR="003C5AB4" w:rsidRPr="00BC74EF">
        <w:rPr>
          <w:lang w:val="nl-NL"/>
        </w:rPr>
        <w:t xml:space="preserve">leidinggevende functies te worden </w:t>
      </w:r>
      <w:r w:rsidR="008F7B14" w:rsidRPr="00BC74EF">
        <w:rPr>
          <w:lang w:val="nl-NL"/>
        </w:rPr>
        <w:t xml:space="preserve">benoemd </w:t>
      </w:r>
      <w:r w:rsidR="00487E79">
        <w:rPr>
          <w:lang w:val="nl-NL"/>
        </w:rPr>
        <w:t xml:space="preserve">in de formele sector. Deze belemmeringen zijn nog groter voor vrouwen met een handicap. Zeker wanneer zij actief zijn in de informele sector, als zelfstandige of in een deeltijds job, verdienen </w:t>
      </w:r>
      <w:r w:rsidR="00487E79">
        <w:rPr>
          <w:iCs/>
          <w:lang w:val="nl-NL"/>
        </w:rPr>
        <w:t>p</w:t>
      </w:r>
      <w:r w:rsidR="003C5AB4" w:rsidRPr="00BC74EF">
        <w:rPr>
          <w:iCs/>
          <w:lang w:val="nl-NL"/>
        </w:rPr>
        <w:t xml:space="preserve">ersonen met een handicap vaker </w:t>
      </w:r>
      <w:r w:rsidR="00487E79">
        <w:rPr>
          <w:iCs/>
          <w:lang w:val="nl-NL"/>
        </w:rPr>
        <w:t>minder</w:t>
      </w:r>
      <w:r w:rsidR="003C5AB4" w:rsidRPr="00BC74EF">
        <w:rPr>
          <w:iCs/>
          <w:lang w:val="nl-NL"/>
        </w:rPr>
        <w:t xml:space="preserve"> </w:t>
      </w:r>
      <w:r w:rsidR="00E429BF" w:rsidRPr="00BC74EF">
        <w:rPr>
          <w:iCs/>
          <w:lang w:val="nl-NL"/>
        </w:rPr>
        <w:t xml:space="preserve">dan personen zonder handicap </w:t>
      </w:r>
      <w:r w:rsidR="003C5AB4" w:rsidRPr="00BC74EF">
        <w:rPr>
          <w:iCs/>
          <w:lang w:val="nl-NL"/>
        </w:rPr>
        <w:t xml:space="preserve">en </w:t>
      </w:r>
      <w:r w:rsidR="0069077E" w:rsidRPr="00BC74EF">
        <w:rPr>
          <w:iCs/>
          <w:lang w:val="nl-NL"/>
        </w:rPr>
        <w:t xml:space="preserve">hebben </w:t>
      </w:r>
      <w:r w:rsidR="003C5AB4" w:rsidRPr="00BC74EF">
        <w:rPr>
          <w:iCs/>
          <w:lang w:val="nl-NL"/>
        </w:rPr>
        <w:t xml:space="preserve">vaker </w:t>
      </w:r>
      <w:r w:rsidR="0069077E" w:rsidRPr="00BC74EF">
        <w:rPr>
          <w:iCs/>
          <w:lang w:val="nl-NL"/>
        </w:rPr>
        <w:t xml:space="preserve">een kwetsbare </w:t>
      </w:r>
      <w:bookmarkStart w:id="4" w:name="_Hlk83831001"/>
      <w:r w:rsidR="00487E79">
        <w:rPr>
          <w:iCs/>
          <w:lang w:val="nl-NL"/>
        </w:rPr>
        <w:t>job</w:t>
      </w:r>
      <w:r w:rsidR="003C5AB4" w:rsidRPr="00BC74EF">
        <w:rPr>
          <w:iCs/>
          <w:lang w:val="nl-NL"/>
        </w:rPr>
        <w:t>.</w:t>
      </w:r>
      <w:r w:rsidR="003C5AB4" w:rsidRPr="00BC74EF">
        <w:rPr>
          <w:rStyle w:val="Voetnootmarkering"/>
          <w:lang w:val="nl-NL"/>
        </w:rPr>
        <w:footnoteReference w:id="4"/>
      </w:r>
      <w:bookmarkEnd w:id="4"/>
      <w:r w:rsidR="003C5AB4" w:rsidRPr="00BC74EF">
        <w:rPr>
          <w:iCs/>
          <w:lang w:val="nl-NL"/>
        </w:rPr>
        <w:t xml:space="preserve"> Uit </w:t>
      </w:r>
      <w:r w:rsidR="00487E79">
        <w:rPr>
          <w:iCs/>
          <w:lang w:val="nl-NL"/>
        </w:rPr>
        <w:t>de data en ander bewijsmateriaal</w:t>
      </w:r>
      <w:r w:rsidR="003C5AB4" w:rsidRPr="00BC74EF">
        <w:rPr>
          <w:iCs/>
          <w:lang w:val="nl-NL"/>
        </w:rPr>
        <w:t xml:space="preserve"> blijkt dat </w:t>
      </w:r>
      <w:r w:rsidR="00487E79">
        <w:rPr>
          <w:iCs/>
          <w:lang w:val="nl-NL"/>
        </w:rPr>
        <w:t>factoren als</w:t>
      </w:r>
      <w:r w:rsidR="003C5AB4" w:rsidRPr="00BC74EF">
        <w:rPr>
          <w:iCs/>
          <w:lang w:val="nl-NL"/>
        </w:rPr>
        <w:t xml:space="preserve"> leeftijd, geslacht, etniciteit</w:t>
      </w:r>
      <w:r w:rsidR="00487E79">
        <w:rPr>
          <w:iCs/>
          <w:lang w:val="nl-NL"/>
        </w:rPr>
        <w:t xml:space="preserve"> en</w:t>
      </w:r>
      <w:r w:rsidR="003C5AB4" w:rsidRPr="00BC74EF">
        <w:rPr>
          <w:iCs/>
          <w:lang w:val="nl-NL"/>
        </w:rPr>
        <w:t xml:space="preserve"> woonplaats </w:t>
      </w:r>
      <w:r w:rsidR="00487E79">
        <w:rPr>
          <w:iCs/>
          <w:lang w:val="nl-NL"/>
        </w:rPr>
        <w:t>deze ongelijkheden nog vergroten</w:t>
      </w:r>
      <w:r w:rsidR="003C5AB4" w:rsidRPr="00BC74EF">
        <w:rPr>
          <w:iCs/>
          <w:lang w:val="nl-NL"/>
        </w:rPr>
        <w:t>.</w:t>
      </w:r>
    </w:p>
    <w:p w14:paraId="403AA4E1" w14:textId="15A6EFBD" w:rsidR="00F6202B" w:rsidRPr="00BC74EF" w:rsidRDefault="002755DB">
      <w:pPr>
        <w:pStyle w:val="SingleTxtG"/>
        <w:tabs>
          <w:tab w:val="clear" w:pos="2268"/>
        </w:tabs>
        <w:rPr>
          <w:lang w:val="nl-NL"/>
        </w:rPr>
      </w:pPr>
      <w:r w:rsidRPr="00BC74EF">
        <w:rPr>
          <w:lang w:val="nl-NL"/>
        </w:rPr>
        <w:t>5.</w:t>
      </w:r>
      <w:r w:rsidRPr="00BC74EF">
        <w:rPr>
          <w:lang w:val="nl-NL"/>
        </w:rPr>
        <w:tab/>
      </w:r>
      <w:r w:rsidR="003C5AB4" w:rsidRPr="00BC74EF">
        <w:rPr>
          <w:lang w:val="nl-NL"/>
        </w:rPr>
        <w:t xml:space="preserve">De veranderende </w:t>
      </w:r>
      <w:r w:rsidR="00487E79">
        <w:rPr>
          <w:lang w:val="nl-NL"/>
        </w:rPr>
        <w:t xml:space="preserve">economische en </w:t>
      </w:r>
      <w:proofErr w:type="spellStart"/>
      <w:r w:rsidR="00487E79">
        <w:rPr>
          <w:lang w:val="nl-NL"/>
        </w:rPr>
        <w:t>arbeidsmarktgebonden</w:t>
      </w:r>
      <w:proofErr w:type="spellEnd"/>
      <w:r w:rsidR="00487E79">
        <w:rPr>
          <w:lang w:val="nl-NL"/>
        </w:rPr>
        <w:t xml:space="preserve"> </w:t>
      </w:r>
      <w:r w:rsidR="003C5AB4" w:rsidRPr="00BC74EF">
        <w:rPr>
          <w:lang w:val="nl-NL"/>
        </w:rPr>
        <w:t xml:space="preserve">omstandigheden creëren </w:t>
      </w:r>
      <w:r w:rsidR="00F26571">
        <w:rPr>
          <w:lang w:val="nl-NL"/>
        </w:rPr>
        <w:t xml:space="preserve">zowel </w:t>
      </w:r>
      <w:r w:rsidR="003C5AB4" w:rsidRPr="00BC74EF">
        <w:rPr>
          <w:lang w:val="nl-NL"/>
        </w:rPr>
        <w:t xml:space="preserve">nieuwe uitdagingen </w:t>
      </w:r>
      <w:r w:rsidR="00F26571">
        <w:rPr>
          <w:lang w:val="nl-NL"/>
        </w:rPr>
        <w:t>als nieuwe</w:t>
      </w:r>
      <w:r w:rsidR="003C5AB4" w:rsidRPr="00BC74EF">
        <w:rPr>
          <w:lang w:val="nl-NL"/>
        </w:rPr>
        <w:t xml:space="preserve"> </w:t>
      </w:r>
      <w:r w:rsidR="003C5AB4" w:rsidRPr="00BC74EF">
        <w:rPr>
          <w:iCs/>
          <w:lang w:val="nl-NL"/>
        </w:rPr>
        <w:t xml:space="preserve">kansen </w:t>
      </w:r>
      <w:r w:rsidR="003C5AB4" w:rsidRPr="00BC74EF">
        <w:rPr>
          <w:lang w:val="nl-NL"/>
        </w:rPr>
        <w:t xml:space="preserve">om het recht op werk te waarborgen. Nieuwe technologieën, waaronder kunstmatige intelligentie en </w:t>
      </w:r>
      <w:r w:rsidR="00C83824" w:rsidRPr="00BC74EF">
        <w:rPr>
          <w:lang w:val="nl-NL"/>
        </w:rPr>
        <w:t xml:space="preserve">de </w:t>
      </w:r>
      <w:r w:rsidR="003C5AB4" w:rsidRPr="00BC74EF">
        <w:rPr>
          <w:lang w:val="nl-NL"/>
        </w:rPr>
        <w:t xml:space="preserve">verschuiving naar digitaal werk, kunnen nieuwe belemmeringen of vormen van discriminatie opwerpen, maar ook nieuwe </w:t>
      </w:r>
      <w:r w:rsidR="004F584F" w:rsidRPr="00BC74EF">
        <w:rPr>
          <w:lang w:val="nl-NL"/>
        </w:rPr>
        <w:t xml:space="preserve">wegen naar werk en nieuwe </w:t>
      </w:r>
      <w:r w:rsidR="003C5AB4" w:rsidRPr="00BC74EF">
        <w:rPr>
          <w:lang w:val="nl-NL"/>
        </w:rPr>
        <w:t xml:space="preserve">vormen </w:t>
      </w:r>
      <w:r w:rsidR="00C83824" w:rsidRPr="00BC74EF">
        <w:rPr>
          <w:lang w:val="nl-NL"/>
        </w:rPr>
        <w:t xml:space="preserve">van </w:t>
      </w:r>
      <w:r w:rsidR="004F584F" w:rsidRPr="00BC74EF">
        <w:rPr>
          <w:lang w:val="nl-NL"/>
        </w:rPr>
        <w:t xml:space="preserve">werkgelegenheid </w:t>
      </w:r>
      <w:r w:rsidR="00C83824" w:rsidRPr="00BC74EF">
        <w:rPr>
          <w:lang w:val="nl-NL"/>
        </w:rPr>
        <w:t>bieden</w:t>
      </w:r>
      <w:r w:rsidR="003C5AB4" w:rsidRPr="00BC74EF">
        <w:rPr>
          <w:lang w:val="nl-NL"/>
        </w:rPr>
        <w:t xml:space="preserve">. Economische transformaties, zoals </w:t>
      </w:r>
      <w:r w:rsidR="00C83824" w:rsidRPr="00BC74EF">
        <w:rPr>
          <w:lang w:val="nl-NL"/>
        </w:rPr>
        <w:t xml:space="preserve">de overgang </w:t>
      </w:r>
      <w:r w:rsidR="003C5AB4" w:rsidRPr="00BC74EF">
        <w:rPr>
          <w:lang w:val="nl-NL"/>
        </w:rPr>
        <w:t xml:space="preserve">naar een groene economie of </w:t>
      </w:r>
      <w:r w:rsidR="00F26571">
        <w:rPr>
          <w:lang w:val="nl-NL"/>
        </w:rPr>
        <w:t>crisisbeheer</w:t>
      </w:r>
      <w:r w:rsidR="003C5AB4" w:rsidRPr="00BC74EF">
        <w:rPr>
          <w:lang w:val="nl-NL"/>
        </w:rPr>
        <w:t xml:space="preserve">, creëren zowel </w:t>
      </w:r>
      <w:r w:rsidR="00C83824" w:rsidRPr="00BC74EF">
        <w:rPr>
          <w:lang w:val="nl-NL"/>
        </w:rPr>
        <w:t xml:space="preserve">kansen </w:t>
      </w:r>
      <w:r w:rsidR="003C5AB4" w:rsidRPr="00BC74EF">
        <w:rPr>
          <w:lang w:val="nl-NL"/>
        </w:rPr>
        <w:t xml:space="preserve">voor inclusie als </w:t>
      </w:r>
      <w:r w:rsidR="00C83824" w:rsidRPr="00BC74EF">
        <w:rPr>
          <w:lang w:val="nl-NL"/>
        </w:rPr>
        <w:t xml:space="preserve">het </w:t>
      </w:r>
      <w:r w:rsidR="003C5AB4" w:rsidRPr="00BC74EF">
        <w:rPr>
          <w:lang w:val="nl-NL"/>
        </w:rPr>
        <w:t>gevaar dat mensen achterblijven</w:t>
      </w:r>
      <w:r w:rsidR="00F2417E" w:rsidRPr="00BC74EF">
        <w:rPr>
          <w:lang w:val="nl-NL"/>
        </w:rPr>
        <w:t>.</w:t>
      </w:r>
      <w:r w:rsidR="003C5AB4" w:rsidRPr="00BC74EF">
        <w:rPr>
          <w:rStyle w:val="Voetnootmarkering"/>
          <w:lang w:val="nl-NL"/>
        </w:rPr>
        <w:footnoteReference w:id="5"/>
      </w:r>
    </w:p>
    <w:p w14:paraId="24D41E9D" w14:textId="64D66677" w:rsidR="00F6202B" w:rsidRPr="00BC74EF" w:rsidRDefault="002755DB">
      <w:pPr>
        <w:pStyle w:val="SingleTxtG"/>
        <w:tabs>
          <w:tab w:val="clear" w:pos="2268"/>
        </w:tabs>
        <w:rPr>
          <w:lang w:val="nl-NL"/>
        </w:rPr>
      </w:pPr>
      <w:r w:rsidRPr="00BC74EF">
        <w:rPr>
          <w:lang w:val="nl-NL"/>
        </w:rPr>
        <w:t>6.</w:t>
      </w:r>
      <w:r w:rsidRPr="00BC74EF">
        <w:rPr>
          <w:lang w:val="nl-NL"/>
        </w:rPr>
        <w:tab/>
      </w:r>
      <w:r w:rsidR="003C5AB4" w:rsidRPr="00BC74EF">
        <w:rPr>
          <w:lang w:val="nl-NL"/>
        </w:rPr>
        <w:t xml:space="preserve">Artikel 27 </w:t>
      </w:r>
      <w:r w:rsidR="00E429BF" w:rsidRPr="00BC74EF">
        <w:rPr>
          <w:lang w:val="nl-NL"/>
        </w:rPr>
        <w:t xml:space="preserve">van het </w:t>
      </w:r>
      <w:r w:rsidR="00F26571">
        <w:rPr>
          <w:lang w:val="nl-NL"/>
        </w:rPr>
        <w:t>V</w:t>
      </w:r>
      <w:r w:rsidR="00E429BF" w:rsidRPr="00BC74EF">
        <w:rPr>
          <w:lang w:val="nl-NL"/>
        </w:rPr>
        <w:t xml:space="preserve">erdrag </w:t>
      </w:r>
      <w:r w:rsidR="003C5AB4" w:rsidRPr="00BC74EF">
        <w:rPr>
          <w:lang w:val="nl-NL"/>
        </w:rPr>
        <w:t>omvat verscheidene onderling afhankelijke en samenhangende rechten binnen het recht op werk, waaronder</w:t>
      </w:r>
      <w:r w:rsidR="004E3333" w:rsidRPr="00BC74EF">
        <w:rPr>
          <w:lang w:val="nl-NL"/>
        </w:rPr>
        <w:t xml:space="preserve">, in artikel 27, lid 1, onder b), </w:t>
      </w:r>
      <w:r w:rsidR="003C5AB4" w:rsidRPr="00BC74EF">
        <w:rPr>
          <w:lang w:val="nl-NL"/>
        </w:rPr>
        <w:t xml:space="preserve">het </w:t>
      </w:r>
      <w:r w:rsidR="00596674" w:rsidRPr="00BC74EF">
        <w:rPr>
          <w:lang w:val="nl-NL"/>
        </w:rPr>
        <w:t xml:space="preserve">recht </w:t>
      </w:r>
      <w:r w:rsidR="003C5AB4" w:rsidRPr="00BC74EF">
        <w:rPr>
          <w:lang w:val="nl-NL"/>
        </w:rPr>
        <w:t>van personen met een handicap</w:t>
      </w:r>
      <w:r w:rsidR="00596674" w:rsidRPr="00BC74EF">
        <w:rPr>
          <w:lang w:val="nl-NL"/>
        </w:rPr>
        <w:t xml:space="preserve">, op voet van gelijkheid met anderen, </w:t>
      </w:r>
      <w:r w:rsidR="003C5AB4" w:rsidRPr="00BC74EF">
        <w:rPr>
          <w:lang w:val="nl-NL"/>
        </w:rPr>
        <w:t xml:space="preserve">op </w:t>
      </w:r>
      <w:r w:rsidR="00F26571">
        <w:rPr>
          <w:lang w:val="nl-NL"/>
        </w:rPr>
        <w:t>billijke</w:t>
      </w:r>
      <w:r w:rsidR="003C5AB4" w:rsidRPr="00BC74EF">
        <w:rPr>
          <w:lang w:val="nl-NL"/>
        </w:rPr>
        <w:t xml:space="preserve"> en gunstige arbeidsvoorwaarden </w:t>
      </w:r>
      <w:r w:rsidR="004E3333" w:rsidRPr="00BC74EF">
        <w:rPr>
          <w:lang w:val="nl-NL"/>
        </w:rPr>
        <w:t xml:space="preserve">en </w:t>
      </w:r>
      <w:r w:rsidR="003C5AB4" w:rsidRPr="00BC74EF">
        <w:rPr>
          <w:lang w:val="nl-NL"/>
        </w:rPr>
        <w:t>op veilige arbeidsomstandigheden</w:t>
      </w:r>
      <w:r w:rsidR="004E3333" w:rsidRPr="00BC74EF">
        <w:rPr>
          <w:lang w:val="nl-NL"/>
        </w:rPr>
        <w:t xml:space="preserve">, met inbegrip van </w:t>
      </w:r>
      <w:r w:rsidR="003C5AB4" w:rsidRPr="00BC74EF">
        <w:rPr>
          <w:lang w:val="nl-NL"/>
        </w:rPr>
        <w:t>bescherming tegen intimidatie</w:t>
      </w:r>
      <w:r w:rsidR="004E3333" w:rsidRPr="00BC74EF">
        <w:rPr>
          <w:lang w:val="nl-NL"/>
        </w:rPr>
        <w:t xml:space="preserve">, </w:t>
      </w:r>
      <w:r w:rsidR="003C5AB4" w:rsidRPr="00BC74EF">
        <w:rPr>
          <w:lang w:val="nl-NL"/>
        </w:rPr>
        <w:t>en</w:t>
      </w:r>
      <w:r w:rsidR="004E3333" w:rsidRPr="00BC74EF">
        <w:rPr>
          <w:lang w:val="nl-NL"/>
        </w:rPr>
        <w:t xml:space="preserve">, in artikel 27, lid 1, onder c), </w:t>
      </w:r>
      <w:r w:rsidR="003C5AB4" w:rsidRPr="00BC74EF">
        <w:rPr>
          <w:lang w:val="nl-NL"/>
        </w:rPr>
        <w:t xml:space="preserve">de collectieve dimensie van het recht op werk </w:t>
      </w:r>
      <w:r w:rsidR="004E3333" w:rsidRPr="00BC74EF">
        <w:rPr>
          <w:lang w:val="nl-NL"/>
        </w:rPr>
        <w:t xml:space="preserve">en </w:t>
      </w:r>
      <w:r w:rsidR="003C5AB4" w:rsidRPr="00BC74EF">
        <w:rPr>
          <w:lang w:val="nl-NL"/>
        </w:rPr>
        <w:t xml:space="preserve">de </w:t>
      </w:r>
      <w:r w:rsidR="004E3333" w:rsidRPr="00BC74EF">
        <w:rPr>
          <w:lang w:val="nl-NL"/>
        </w:rPr>
        <w:t xml:space="preserve">uitoefening door </w:t>
      </w:r>
      <w:r w:rsidR="003C5AB4" w:rsidRPr="00BC74EF">
        <w:rPr>
          <w:lang w:val="nl-NL"/>
        </w:rPr>
        <w:t xml:space="preserve">personen met een handicap </w:t>
      </w:r>
      <w:r w:rsidR="004E3333" w:rsidRPr="00BC74EF">
        <w:rPr>
          <w:lang w:val="nl-NL"/>
        </w:rPr>
        <w:t xml:space="preserve">van </w:t>
      </w:r>
      <w:r w:rsidR="003C5AB4" w:rsidRPr="00BC74EF">
        <w:rPr>
          <w:lang w:val="nl-NL"/>
        </w:rPr>
        <w:t xml:space="preserve">hun </w:t>
      </w:r>
      <w:r w:rsidR="004E3333" w:rsidRPr="00BC74EF">
        <w:rPr>
          <w:lang w:val="nl-NL"/>
        </w:rPr>
        <w:t xml:space="preserve">arbeids- en </w:t>
      </w:r>
      <w:r w:rsidR="003C5AB4" w:rsidRPr="00BC74EF">
        <w:rPr>
          <w:lang w:val="nl-NL"/>
        </w:rPr>
        <w:t xml:space="preserve">vakbondsrechten </w:t>
      </w:r>
      <w:r w:rsidR="004E3333" w:rsidRPr="00BC74EF">
        <w:rPr>
          <w:lang w:val="nl-NL"/>
        </w:rPr>
        <w:t>op voet van gelijkheid met anderen</w:t>
      </w:r>
      <w:r w:rsidR="00A61F04">
        <w:rPr>
          <w:lang w:val="nl-NL"/>
        </w:rPr>
        <w:t>.</w:t>
      </w:r>
      <w:r w:rsidR="003C5AB4" w:rsidRPr="00BC74EF">
        <w:rPr>
          <w:rStyle w:val="Voetnootmarkering"/>
          <w:lang w:val="nl-NL"/>
        </w:rPr>
        <w:footnoteReference w:id="6"/>
      </w:r>
      <w:r w:rsidR="003C5AB4" w:rsidRPr="00BC74EF">
        <w:rPr>
          <w:lang w:val="nl-NL"/>
        </w:rPr>
        <w:t xml:space="preserve"> Het </w:t>
      </w:r>
      <w:r w:rsidR="009505AC" w:rsidRPr="00BC74EF">
        <w:rPr>
          <w:lang w:val="nl-NL"/>
        </w:rPr>
        <w:t xml:space="preserve">doel van </w:t>
      </w:r>
      <w:r w:rsidR="003C5AB4" w:rsidRPr="00BC74EF">
        <w:rPr>
          <w:lang w:val="nl-NL"/>
        </w:rPr>
        <w:t xml:space="preserve">deze </w:t>
      </w:r>
      <w:r w:rsidR="00BF6216">
        <w:rPr>
          <w:lang w:val="nl-NL"/>
        </w:rPr>
        <w:t xml:space="preserve">algemene commentaar </w:t>
      </w:r>
      <w:r w:rsidR="009505AC" w:rsidRPr="00BC74EF">
        <w:rPr>
          <w:lang w:val="nl-NL"/>
        </w:rPr>
        <w:t xml:space="preserve">is </w:t>
      </w:r>
      <w:r w:rsidR="003C5AB4" w:rsidRPr="00BC74EF">
        <w:rPr>
          <w:lang w:val="nl-NL"/>
        </w:rPr>
        <w:t xml:space="preserve">een uitgebreid overzicht te geven van </w:t>
      </w:r>
      <w:r w:rsidR="009505AC" w:rsidRPr="00BC74EF">
        <w:rPr>
          <w:lang w:val="nl-NL"/>
        </w:rPr>
        <w:t xml:space="preserve">de verplichtingen </w:t>
      </w:r>
      <w:r w:rsidR="00A518B6" w:rsidRPr="00BC74EF">
        <w:rPr>
          <w:lang w:val="nl-NL"/>
        </w:rPr>
        <w:t xml:space="preserve">van de </w:t>
      </w:r>
      <w:r w:rsidR="003001A8">
        <w:rPr>
          <w:lang w:val="nl-NL"/>
        </w:rPr>
        <w:t>Staten die Partij</w:t>
      </w:r>
      <w:r w:rsidR="00A518B6" w:rsidRPr="00BC74EF">
        <w:rPr>
          <w:lang w:val="nl-NL"/>
        </w:rPr>
        <w:t xml:space="preserve"> zijn bij </w:t>
      </w:r>
      <w:r w:rsidR="003C5AB4" w:rsidRPr="00BC74EF">
        <w:rPr>
          <w:lang w:val="nl-NL"/>
        </w:rPr>
        <w:t xml:space="preserve">artikel 27, rekening houdend met de </w:t>
      </w:r>
      <w:r w:rsidR="007667AC" w:rsidRPr="00BC74EF">
        <w:rPr>
          <w:lang w:val="nl-NL"/>
        </w:rPr>
        <w:t>onderlinge</w:t>
      </w:r>
      <w:r w:rsidR="003C5AB4" w:rsidRPr="00BC74EF">
        <w:rPr>
          <w:lang w:val="nl-NL"/>
        </w:rPr>
        <w:t xml:space="preserve"> samenhang van de in </w:t>
      </w:r>
      <w:r w:rsidR="00E429BF" w:rsidRPr="00BC74EF">
        <w:rPr>
          <w:lang w:val="nl-NL"/>
        </w:rPr>
        <w:t xml:space="preserve">dat </w:t>
      </w:r>
      <w:r w:rsidR="003C5AB4" w:rsidRPr="00BC74EF">
        <w:rPr>
          <w:lang w:val="nl-NL"/>
        </w:rPr>
        <w:t xml:space="preserve">artikel genoemde maatregelen </w:t>
      </w:r>
      <w:r w:rsidR="00A518B6" w:rsidRPr="00BC74EF">
        <w:rPr>
          <w:lang w:val="nl-NL"/>
        </w:rPr>
        <w:t>inzake het recht op werk</w:t>
      </w:r>
      <w:r w:rsidR="003C5AB4" w:rsidRPr="00BC74EF">
        <w:rPr>
          <w:lang w:val="nl-NL"/>
        </w:rPr>
        <w:t xml:space="preserve">, en de onderlinge relatie </w:t>
      </w:r>
      <w:r w:rsidR="00F26571">
        <w:rPr>
          <w:lang w:val="nl-NL"/>
        </w:rPr>
        <w:t>tussen</w:t>
      </w:r>
      <w:r w:rsidR="003C5AB4" w:rsidRPr="00BC74EF">
        <w:rPr>
          <w:lang w:val="nl-NL"/>
        </w:rPr>
        <w:t xml:space="preserve"> het recht op werk en werkgelegenheid </w:t>
      </w:r>
      <w:r w:rsidR="00F26571">
        <w:rPr>
          <w:lang w:val="nl-NL"/>
        </w:rPr>
        <w:t>en</w:t>
      </w:r>
      <w:r w:rsidR="003C5AB4" w:rsidRPr="00BC74EF">
        <w:rPr>
          <w:lang w:val="nl-NL"/>
        </w:rPr>
        <w:t xml:space="preserve"> </w:t>
      </w:r>
      <w:r w:rsidR="00A518B6" w:rsidRPr="00BC74EF">
        <w:rPr>
          <w:lang w:val="nl-NL"/>
        </w:rPr>
        <w:t xml:space="preserve">de </w:t>
      </w:r>
      <w:r w:rsidR="003C5AB4" w:rsidRPr="00BC74EF">
        <w:rPr>
          <w:lang w:val="nl-NL"/>
        </w:rPr>
        <w:t xml:space="preserve">bepalingen </w:t>
      </w:r>
      <w:r w:rsidR="00A518B6" w:rsidRPr="00BC74EF">
        <w:rPr>
          <w:lang w:val="nl-NL"/>
        </w:rPr>
        <w:t xml:space="preserve">van andere </w:t>
      </w:r>
      <w:r w:rsidR="00C374A4" w:rsidRPr="00BC74EF">
        <w:rPr>
          <w:lang w:val="nl-NL"/>
        </w:rPr>
        <w:t xml:space="preserve">artikelen van </w:t>
      </w:r>
      <w:r w:rsidR="003C5AB4" w:rsidRPr="00BC74EF">
        <w:rPr>
          <w:lang w:val="nl-NL"/>
        </w:rPr>
        <w:t xml:space="preserve">het </w:t>
      </w:r>
      <w:r w:rsidR="00F26571">
        <w:rPr>
          <w:lang w:val="nl-NL"/>
        </w:rPr>
        <w:t>V</w:t>
      </w:r>
      <w:r w:rsidR="003C5AB4" w:rsidRPr="00BC74EF">
        <w:rPr>
          <w:lang w:val="nl-NL"/>
        </w:rPr>
        <w:t>erdrag</w:t>
      </w:r>
      <w:r w:rsidR="00F26571">
        <w:rPr>
          <w:lang w:val="nl-NL"/>
        </w:rPr>
        <w:t>.</w:t>
      </w:r>
      <w:r w:rsidR="003C5AB4" w:rsidRPr="00F26571">
        <w:rPr>
          <w:strike/>
          <w:lang w:val="nl-NL"/>
        </w:rPr>
        <w:t xml:space="preserve"> </w:t>
      </w:r>
    </w:p>
    <w:p w14:paraId="78A727ED" w14:textId="797BE03B" w:rsidR="00F6202B" w:rsidRPr="00BC74EF" w:rsidRDefault="002755DB">
      <w:pPr>
        <w:pStyle w:val="HChG"/>
        <w:rPr>
          <w:lang w:val="nl-NL"/>
        </w:rPr>
      </w:pPr>
      <w:r w:rsidRPr="00BC74EF">
        <w:rPr>
          <w:lang w:val="nl-NL"/>
        </w:rPr>
        <w:tab/>
        <w:t>II.</w:t>
      </w:r>
      <w:r w:rsidRPr="00BC74EF">
        <w:rPr>
          <w:lang w:val="nl-NL"/>
        </w:rPr>
        <w:tab/>
        <w:t>Mensenrechtenmodel van handicap</w:t>
      </w:r>
    </w:p>
    <w:p w14:paraId="3FB3A675" w14:textId="0429C78D" w:rsidR="00F6202B" w:rsidRPr="00BC74EF" w:rsidRDefault="002755DB">
      <w:pPr>
        <w:pStyle w:val="SingleTxtG"/>
        <w:tabs>
          <w:tab w:val="clear" w:pos="2268"/>
        </w:tabs>
        <w:rPr>
          <w:lang w:val="nl-NL"/>
        </w:rPr>
      </w:pPr>
      <w:r w:rsidRPr="00BC74EF">
        <w:rPr>
          <w:lang w:val="nl-NL"/>
        </w:rPr>
        <w:t>7.</w:t>
      </w:r>
      <w:r w:rsidRPr="00BC74EF">
        <w:rPr>
          <w:lang w:val="nl-NL"/>
        </w:rPr>
        <w:tab/>
      </w:r>
      <w:r w:rsidR="003C5AB4" w:rsidRPr="00BC74EF">
        <w:rPr>
          <w:lang w:val="nl-NL"/>
        </w:rPr>
        <w:t xml:space="preserve">Het Comité heeft consequent zijn bezorgdheid </w:t>
      </w:r>
      <w:r w:rsidR="00F26571">
        <w:rPr>
          <w:lang w:val="nl-NL"/>
        </w:rPr>
        <w:t>geuit</w:t>
      </w:r>
      <w:r w:rsidR="003C5AB4" w:rsidRPr="00BC74EF">
        <w:rPr>
          <w:lang w:val="nl-NL"/>
        </w:rPr>
        <w:t xml:space="preserve"> over het feit dat </w:t>
      </w:r>
      <w:r w:rsidR="00D760A3" w:rsidRPr="00BC74EF">
        <w:rPr>
          <w:lang w:val="nl-NL"/>
        </w:rPr>
        <w:t xml:space="preserve">de </w:t>
      </w:r>
      <w:r w:rsidR="003C5AB4" w:rsidRPr="00BC74EF">
        <w:rPr>
          <w:lang w:val="nl-NL"/>
        </w:rPr>
        <w:t xml:space="preserve">wetgeving en het beleid </w:t>
      </w:r>
      <w:r w:rsidR="00D760A3" w:rsidRPr="00BC74EF">
        <w:rPr>
          <w:lang w:val="nl-NL"/>
        </w:rPr>
        <w:t xml:space="preserve">van de </w:t>
      </w:r>
      <w:r w:rsidR="003001A8">
        <w:rPr>
          <w:lang w:val="nl-NL"/>
        </w:rPr>
        <w:t>Staten die Partij</w:t>
      </w:r>
      <w:r w:rsidR="00D760A3" w:rsidRPr="00BC74EF">
        <w:rPr>
          <w:lang w:val="nl-NL"/>
        </w:rPr>
        <w:t xml:space="preserve"> zijn </w:t>
      </w:r>
      <w:r w:rsidR="003C5AB4" w:rsidRPr="00BC74EF">
        <w:rPr>
          <w:lang w:val="nl-NL"/>
        </w:rPr>
        <w:t xml:space="preserve">nog steeds </w:t>
      </w:r>
      <w:r w:rsidR="00E429BF" w:rsidRPr="00BC74EF">
        <w:rPr>
          <w:lang w:val="nl-NL"/>
        </w:rPr>
        <w:t xml:space="preserve">blijk geven van </w:t>
      </w:r>
      <w:r w:rsidR="00F95F1D">
        <w:rPr>
          <w:lang w:val="nl-NL"/>
        </w:rPr>
        <w:t>validisme</w:t>
      </w:r>
      <w:r w:rsidR="004F31B4" w:rsidRPr="00BC74EF">
        <w:rPr>
          <w:lang w:val="nl-NL"/>
        </w:rPr>
        <w:t xml:space="preserve"> </w:t>
      </w:r>
      <w:r w:rsidR="00F26571">
        <w:rPr>
          <w:lang w:val="nl-NL"/>
        </w:rPr>
        <w:t xml:space="preserve">en een </w:t>
      </w:r>
      <w:r w:rsidR="003C5AB4" w:rsidRPr="00BC74EF">
        <w:rPr>
          <w:lang w:val="nl-NL"/>
        </w:rPr>
        <w:t xml:space="preserve">benadering </w:t>
      </w:r>
      <w:r w:rsidR="00E429BF" w:rsidRPr="00BC74EF">
        <w:rPr>
          <w:lang w:val="nl-NL"/>
        </w:rPr>
        <w:t xml:space="preserve">van </w:t>
      </w:r>
      <w:r w:rsidR="003C5AB4" w:rsidRPr="00BC74EF">
        <w:rPr>
          <w:lang w:val="nl-NL"/>
        </w:rPr>
        <w:t xml:space="preserve">handicap </w:t>
      </w:r>
      <w:r w:rsidR="00F26571">
        <w:rPr>
          <w:lang w:val="nl-NL"/>
        </w:rPr>
        <w:t>vanuit</w:t>
      </w:r>
      <w:r w:rsidR="003C5AB4" w:rsidRPr="00BC74EF">
        <w:rPr>
          <w:lang w:val="nl-NL"/>
        </w:rPr>
        <w:t xml:space="preserve"> </w:t>
      </w:r>
      <w:r w:rsidR="00F95F1D">
        <w:rPr>
          <w:lang w:val="nl-NL"/>
        </w:rPr>
        <w:t>charitatieve</w:t>
      </w:r>
      <w:r w:rsidR="003C5AB4" w:rsidRPr="00BC74EF">
        <w:rPr>
          <w:lang w:val="nl-NL"/>
        </w:rPr>
        <w:t xml:space="preserve"> en/of medische modellen, ondanks de onverenigbaarheid van deze modellen met het Verdrag</w:t>
      </w:r>
      <w:r w:rsidR="00F26571">
        <w:rPr>
          <w:lang w:val="nl-NL"/>
        </w:rPr>
        <w:t>.</w:t>
      </w:r>
      <w:r w:rsidR="003C5AB4" w:rsidRPr="00BC74EF">
        <w:rPr>
          <w:rStyle w:val="Voetnootmarkering"/>
          <w:lang w:val="nl-NL"/>
        </w:rPr>
        <w:footnoteReference w:id="7"/>
      </w:r>
      <w:r w:rsidR="004F31B4" w:rsidRPr="00BC74EF">
        <w:rPr>
          <w:lang w:val="nl-NL"/>
        </w:rPr>
        <w:t xml:space="preserve"> </w:t>
      </w:r>
      <w:r w:rsidR="00F26571">
        <w:rPr>
          <w:lang w:val="nl-NL"/>
        </w:rPr>
        <w:t>P</w:t>
      </w:r>
      <w:r w:rsidR="004F31B4" w:rsidRPr="00BC74EF">
        <w:rPr>
          <w:lang w:val="nl-NL"/>
        </w:rPr>
        <w:t xml:space="preserve">ersonen met een handicap worden niet erkend als subjecten van rechten en als rechthebbenden, maar worden in plaats daarvan </w:t>
      </w:r>
      <w:r w:rsidR="008F1B6A" w:rsidRPr="00BC74EF">
        <w:rPr>
          <w:lang w:val="nl-NL"/>
        </w:rPr>
        <w:t>"gereduceerd" tot hun handicap</w:t>
      </w:r>
      <w:r w:rsidR="00E96D2C" w:rsidRPr="00BC74EF">
        <w:rPr>
          <w:lang w:val="nl-NL"/>
        </w:rPr>
        <w:t>.</w:t>
      </w:r>
      <w:r w:rsidR="002063A2" w:rsidRPr="00BC74EF">
        <w:rPr>
          <w:rStyle w:val="Voetnootmarkering"/>
          <w:lang w:val="nl-NL"/>
        </w:rPr>
        <w:footnoteReference w:id="8"/>
      </w:r>
      <w:r w:rsidR="00923A96" w:rsidRPr="00BC74EF">
        <w:rPr>
          <w:lang w:val="nl-NL"/>
        </w:rPr>
        <w:t xml:space="preserve"> Discriminerende of gedifferentieerde behandeling en uitsluiting van</w:t>
      </w:r>
      <w:r w:rsidR="00FF34DA">
        <w:rPr>
          <w:lang w:val="nl-NL"/>
        </w:rPr>
        <w:t xml:space="preserve"> personen met een handicap </w:t>
      </w:r>
      <w:r w:rsidR="0011747E" w:rsidRPr="00BC74EF">
        <w:rPr>
          <w:lang w:val="nl-NL"/>
        </w:rPr>
        <w:t xml:space="preserve">worden </w:t>
      </w:r>
      <w:r w:rsidR="00923A96" w:rsidRPr="00BC74EF">
        <w:rPr>
          <w:lang w:val="nl-NL"/>
        </w:rPr>
        <w:t xml:space="preserve">als de norm beschouwd, en </w:t>
      </w:r>
      <w:r w:rsidR="00FF7EC0" w:rsidRPr="00BC74EF">
        <w:rPr>
          <w:lang w:val="nl-NL"/>
        </w:rPr>
        <w:t xml:space="preserve">worden </w:t>
      </w:r>
      <w:r w:rsidR="00923A96" w:rsidRPr="00BC74EF">
        <w:rPr>
          <w:lang w:val="nl-NL"/>
        </w:rPr>
        <w:t xml:space="preserve">gelegitimeerd door </w:t>
      </w:r>
      <w:r w:rsidR="00923A96" w:rsidRPr="00BC74EF">
        <w:rPr>
          <w:lang w:val="nl-NL"/>
        </w:rPr>
        <w:lastRenderedPageBreak/>
        <w:t xml:space="preserve">een medisch gestuurde benadering van handicap. </w:t>
      </w:r>
      <w:r w:rsidR="0011747E" w:rsidRPr="00BC74EF">
        <w:rPr>
          <w:lang w:val="nl-NL"/>
        </w:rPr>
        <w:t xml:space="preserve">Een dergelijke </w:t>
      </w:r>
      <w:r w:rsidR="0011747E" w:rsidRPr="00F95F1D">
        <w:rPr>
          <w:lang w:val="nl-NL"/>
        </w:rPr>
        <w:t>bekwaamheidsbenadering</w:t>
      </w:r>
      <w:r w:rsidR="0011747E" w:rsidRPr="00BC74EF">
        <w:rPr>
          <w:lang w:val="nl-NL"/>
        </w:rPr>
        <w:t xml:space="preserve"> </w:t>
      </w:r>
      <w:r w:rsidR="00923A96" w:rsidRPr="00BC74EF">
        <w:rPr>
          <w:lang w:val="nl-NL"/>
        </w:rPr>
        <w:t xml:space="preserve">belet </w:t>
      </w:r>
      <w:r w:rsidR="003C5AB4" w:rsidRPr="00BC74EF">
        <w:rPr>
          <w:lang w:val="nl-NL"/>
        </w:rPr>
        <w:t xml:space="preserve">de </w:t>
      </w:r>
      <w:r w:rsidR="003001A8">
        <w:rPr>
          <w:lang w:val="nl-NL"/>
        </w:rPr>
        <w:t>Staten die Partij</w:t>
      </w:r>
      <w:r w:rsidR="003C5AB4" w:rsidRPr="00BC74EF">
        <w:rPr>
          <w:lang w:val="nl-NL"/>
        </w:rPr>
        <w:t xml:space="preserve"> zijn bij dit </w:t>
      </w:r>
      <w:r w:rsidR="00F26571">
        <w:rPr>
          <w:lang w:val="nl-NL"/>
        </w:rPr>
        <w:t>V</w:t>
      </w:r>
      <w:r w:rsidR="003C5AB4" w:rsidRPr="00BC74EF">
        <w:rPr>
          <w:lang w:val="nl-NL"/>
        </w:rPr>
        <w:t xml:space="preserve">erdrag </w:t>
      </w:r>
      <w:r w:rsidR="00D760A3" w:rsidRPr="00BC74EF">
        <w:rPr>
          <w:lang w:val="nl-NL"/>
        </w:rPr>
        <w:t xml:space="preserve">om </w:t>
      </w:r>
      <w:r w:rsidR="00BF39CB" w:rsidRPr="00BC74EF">
        <w:rPr>
          <w:lang w:val="nl-NL"/>
        </w:rPr>
        <w:t xml:space="preserve">hardnekkige </w:t>
      </w:r>
      <w:r w:rsidR="003C5AB4" w:rsidRPr="00BC74EF">
        <w:rPr>
          <w:lang w:val="nl-NL"/>
        </w:rPr>
        <w:t xml:space="preserve">belemmeringen </w:t>
      </w:r>
      <w:r w:rsidR="007C4E9A" w:rsidRPr="00BC74EF">
        <w:rPr>
          <w:lang w:val="nl-NL"/>
        </w:rPr>
        <w:t>weg te nemen</w:t>
      </w:r>
      <w:r w:rsidR="003C5AB4" w:rsidRPr="00BC74EF">
        <w:rPr>
          <w:lang w:val="nl-NL"/>
        </w:rPr>
        <w:t xml:space="preserve">, met name stereotypen en </w:t>
      </w:r>
      <w:r w:rsidR="00D760A3" w:rsidRPr="00BC74EF">
        <w:rPr>
          <w:lang w:val="nl-NL"/>
        </w:rPr>
        <w:t>stigma</w:t>
      </w:r>
      <w:r w:rsidR="003C5AB4" w:rsidRPr="00BC74EF">
        <w:rPr>
          <w:lang w:val="nl-NL"/>
        </w:rPr>
        <w:t xml:space="preserve">'s over handicap die </w:t>
      </w:r>
      <w:r w:rsidR="00D760A3" w:rsidRPr="00BC74EF">
        <w:rPr>
          <w:lang w:val="nl-NL"/>
        </w:rPr>
        <w:t>verhinderen dat</w:t>
      </w:r>
      <w:r w:rsidR="00FF34DA">
        <w:rPr>
          <w:lang w:val="nl-NL"/>
        </w:rPr>
        <w:t xml:space="preserve"> personen met een handicap </w:t>
      </w:r>
      <w:r w:rsidR="003C5AB4" w:rsidRPr="00BC74EF">
        <w:rPr>
          <w:lang w:val="nl-NL"/>
        </w:rPr>
        <w:t>op voet van gelijkheid met anderen kunnen werken.</w:t>
      </w:r>
    </w:p>
    <w:p w14:paraId="6A05BDFA" w14:textId="4054D263" w:rsidR="00F6202B" w:rsidRPr="00BC74EF" w:rsidRDefault="002755DB">
      <w:pPr>
        <w:pStyle w:val="SingleTxtG"/>
        <w:tabs>
          <w:tab w:val="clear" w:pos="2268"/>
        </w:tabs>
        <w:rPr>
          <w:lang w:val="nl-NL"/>
        </w:rPr>
      </w:pPr>
      <w:r w:rsidRPr="00BC74EF">
        <w:rPr>
          <w:lang w:val="nl-NL"/>
        </w:rPr>
        <w:t>8.</w:t>
      </w:r>
      <w:r w:rsidRPr="00BC74EF">
        <w:rPr>
          <w:lang w:val="nl-NL"/>
        </w:rPr>
        <w:tab/>
      </w:r>
      <w:r w:rsidR="003C5AB4" w:rsidRPr="00BC74EF">
        <w:rPr>
          <w:lang w:val="nl-NL"/>
        </w:rPr>
        <w:t xml:space="preserve">Om de rechten in het </w:t>
      </w:r>
      <w:r w:rsidR="00F26571">
        <w:rPr>
          <w:lang w:val="nl-NL"/>
        </w:rPr>
        <w:t>V</w:t>
      </w:r>
      <w:r w:rsidR="003C5AB4" w:rsidRPr="00BC74EF">
        <w:rPr>
          <w:lang w:val="nl-NL"/>
        </w:rPr>
        <w:t xml:space="preserve">erdrag </w:t>
      </w:r>
      <w:r w:rsidR="00F26571">
        <w:rPr>
          <w:lang w:val="nl-NL"/>
        </w:rPr>
        <w:t>te waarborgen</w:t>
      </w:r>
      <w:r w:rsidR="003C5AB4" w:rsidRPr="00BC74EF">
        <w:rPr>
          <w:lang w:val="nl-NL"/>
        </w:rPr>
        <w:t xml:space="preserve">, moeten de </w:t>
      </w:r>
      <w:r w:rsidR="003001A8">
        <w:rPr>
          <w:lang w:val="nl-NL"/>
        </w:rPr>
        <w:t>Staten die Partij</w:t>
      </w:r>
      <w:r w:rsidR="003C5AB4" w:rsidRPr="00BC74EF">
        <w:rPr>
          <w:lang w:val="nl-NL"/>
        </w:rPr>
        <w:t xml:space="preserve"> zijn het mensenrechtenmodel </w:t>
      </w:r>
      <w:r w:rsidR="008F1B6A" w:rsidRPr="00BC74EF">
        <w:rPr>
          <w:lang w:val="nl-NL"/>
        </w:rPr>
        <w:t xml:space="preserve">van handicap </w:t>
      </w:r>
      <w:r w:rsidR="003C5AB4" w:rsidRPr="00BC74EF">
        <w:rPr>
          <w:lang w:val="nl-NL"/>
        </w:rPr>
        <w:t>toepassen</w:t>
      </w:r>
      <w:r w:rsidR="008F1B6A" w:rsidRPr="00BC74EF">
        <w:rPr>
          <w:lang w:val="nl-NL"/>
        </w:rPr>
        <w:t xml:space="preserve">. </w:t>
      </w:r>
      <w:bookmarkStart w:id="8" w:name="_Hlk103335269"/>
      <w:r w:rsidR="008F1B6A" w:rsidRPr="00BC74EF">
        <w:rPr>
          <w:lang w:val="nl-NL"/>
        </w:rPr>
        <w:t>In zijn algemen</w:t>
      </w:r>
      <w:r w:rsidR="00F26571">
        <w:rPr>
          <w:lang w:val="nl-NL"/>
        </w:rPr>
        <w:t>e</w:t>
      </w:r>
      <w:r w:rsidR="008F1B6A" w:rsidRPr="00BC74EF">
        <w:rPr>
          <w:lang w:val="nl-NL"/>
        </w:rPr>
        <w:t xml:space="preserve"> commentaar nr. 6 (2018)</w:t>
      </w:r>
      <w:bookmarkEnd w:id="8"/>
      <w:r w:rsidR="008F1B6A" w:rsidRPr="00BC74EF">
        <w:rPr>
          <w:lang w:val="nl-NL"/>
        </w:rPr>
        <w:t xml:space="preserve"> over gelijkheid en non-discriminatie zet het Comité het mensenrechtenmodel van handicap uiteen, op grond waarvan wordt erkend dat handicap een sociale constructie is</w:t>
      </w:r>
      <w:r w:rsidR="0011747E" w:rsidRPr="00BC74EF">
        <w:rPr>
          <w:lang w:val="nl-NL"/>
        </w:rPr>
        <w:t xml:space="preserve">, dat een handicap </w:t>
      </w:r>
      <w:r w:rsidR="00F26571">
        <w:rPr>
          <w:lang w:val="nl-NL"/>
        </w:rPr>
        <w:t>deel uitmaakt van d</w:t>
      </w:r>
      <w:r w:rsidR="0011747E" w:rsidRPr="00BC74EF">
        <w:rPr>
          <w:lang w:val="nl-NL"/>
        </w:rPr>
        <w:t xml:space="preserve">e menselijke diversiteit en waardigheid </w:t>
      </w:r>
      <w:r w:rsidR="008F1B6A" w:rsidRPr="00BC74EF">
        <w:rPr>
          <w:lang w:val="nl-NL"/>
        </w:rPr>
        <w:t xml:space="preserve">en dat een handicap niet mag worden beschouwd als </w:t>
      </w:r>
      <w:r w:rsidR="00E361BE" w:rsidRPr="00BC74EF">
        <w:rPr>
          <w:lang w:val="nl-NL"/>
        </w:rPr>
        <w:t xml:space="preserve">een </w:t>
      </w:r>
      <w:r w:rsidR="008F1B6A" w:rsidRPr="00BC74EF">
        <w:rPr>
          <w:lang w:val="nl-NL"/>
        </w:rPr>
        <w:t xml:space="preserve">legitieme grond voor de ontzegging of beperking van mensenrechten. Een handicap wordt erkend als een van de </w:t>
      </w:r>
      <w:r w:rsidR="002B0489" w:rsidRPr="00BC74EF">
        <w:rPr>
          <w:lang w:val="nl-NL"/>
        </w:rPr>
        <w:t xml:space="preserve">vele </w:t>
      </w:r>
      <w:r w:rsidR="008F1B6A" w:rsidRPr="00BC74EF">
        <w:rPr>
          <w:lang w:val="nl-NL"/>
        </w:rPr>
        <w:t xml:space="preserve">lagen van de identiteit, hetgeen betekent dat wetten en beleid rekening moeten houden met de diversiteit van personen met een handicap. </w:t>
      </w:r>
      <w:r w:rsidR="009B1AF3" w:rsidRPr="00BC74EF">
        <w:rPr>
          <w:lang w:val="nl-NL"/>
        </w:rPr>
        <w:t xml:space="preserve">Ook wordt erkend dat mensenrechten onderling afhankelijk, </w:t>
      </w:r>
      <w:r w:rsidR="00BA4FC2">
        <w:rPr>
          <w:lang w:val="nl-NL"/>
        </w:rPr>
        <w:t>met elkaar</w:t>
      </w:r>
      <w:r w:rsidR="009B1AF3" w:rsidRPr="00BC74EF">
        <w:rPr>
          <w:lang w:val="nl-NL"/>
        </w:rPr>
        <w:t xml:space="preserve"> verbonden en ondeelbaar zijn. </w:t>
      </w:r>
    </w:p>
    <w:p w14:paraId="79561A1A" w14:textId="77777777" w:rsidR="00F6202B" w:rsidRPr="00BC74EF" w:rsidRDefault="002755DB">
      <w:pPr>
        <w:pStyle w:val="HChG"/>
        <w:rPr>
          <w:lang w:val="nl-NL"/>
        </w:rPr>
      </w:pPr>
      <w:r w:rsidRPr="00BC74EF">
        <w:rPr>
          <w:lang w:val="nl-NL"/>
        </w:rPr>
        <w:tab/>
        <w:t>III.</w:t>
      </w:r>
      <w:r w:rsidRPr="00BC74EF">
        <w:rPr>
          <w:lang w:val="nl-NL"/>
        </w:rPr>
        <w:tab/>
      </w:r>
      <w:r w:rsidR="003C5AB4" w:rsidRPr="00BC74EF">
        <w:rPr>
          <w:lang w:val="nl-NL"/>
        </w:rPr>
        <w:t>Normatieve inhoud</w:t>
      </w:r>
    </w:p>
    <w:p w14:paraId="77344211" w14:textId="77777777" w:rsidR="00F6202B" w:rsidRPr="00BC74EF" w:rsidRDefault="002755DB">
      <w:pPr>
        <w:pStyle w:val="SingleTxtG"/>
        <w:tabs>
          <w:tab w:val="clear" w:pos="2268"/>
        </w:tabs>
        <w:rPr>
          <w:lang w:val="nl-NL"/>
        </w:rPr>
      </w:pPr>
      <w:r w:rsidRPr="00BC74EF">
        <w:rPr>
          <w:lang w:val="nl-NL"/>
        </w:rPr>
        <w:t>9</w:t>
      </w:r>
      <w:r w:rsidR="0006414B" w:rsidRPr="00BC74EF">
        <w:rPr>
          <w:lang w:val="nl-NL"/>
        </w:rPr>
        <w:t>.</w:t>
      </w:r>
      <w:r w:rsidR="0006414B" w:rsidRPr="00BC74EF">
        <w:rPr>
          <w:lang w:val="nl-NL"/>
        </w:rPr>
        <w:tab/>
      </w:r>
      <w:r w:rsidR="003C5AB4" w:rsidRPr="00BC74EF">
        <w:rPr>
          <w:lang w:val="nl-NL"/>
        </w:rPr>
        <w:t xml:space="preserve">Het recht op werk is een fundamenteel mensenrecht en een essentieel onderdeel van de menselijke waardigheid. </w:t>
      </w:r>
      <w:r w:rsidR="007230F6" w:rsidRPr="00BC74EF">
        <w:rPr>
          <w:lang w:val="nl-NL"/>
        </w:rPr>
        <w:t xml:space="preserve">In </w:t>
      </w:r>
      <w:r w:rsidR="003C5AB4" w:rsidRPr="00BC74EF">
        <w:rPr>
          <w:lang w:val="nl-NL"/>
        </w:rPr>
        <w:t xml:space="preserve">de Universele Verklaring van de Rechten van de Mens </w:t>
      </w:r>
      <w:r w:rsidR="007230F6" w:rsidRPr="00BC74EF">
        <w:rPr>
          <w:lang w:val="nl-NL"/>
        </w:rPr>
        <w:t xml:space="preserve">wordt </w:t>
      </w:r>
      <w:r w:rsidR="003C5AB4" w:rsidRPr="00BC74EF">
        <w:rPr>
          <w:lang w:val="nl-NL"/>
        </w:rPr>
        <w:t xml:space="preserve">het recht op arbeid </w:t>
      </w:r>
      <w:r w:rsidR="007230F6" w:rsidRPr="00BC74EF">
        <w:rPr>
          <w:lang w:val="nl-NL"/>
        </w:rPr>
        <w:t xml:space="preserve">erkend </w:t>
      </w:r>
      <w:r w:rsidR="003C5AB4" w:rsidRPr="00BC74EF">
        <w:rPr>
          <w:lang w:val="nl-NL"/>
        </w:rPr>
        <w:t xml:space="preserve">in artikel 23. </w:t>
      </w:r>
      <w:r w:rsidR="00BD0662" w:rsidRPr="00BC74EF">
        <w:rPr>
          <w:lang w:val="nl-NL"/>
        </w:rPr>
        <w:t xml:space="preserve">Naast het Internationaal Verdrag inzake economische, sociale en culturele rechten wordt </w:t>
      </w:r>
      <w:r w:rsidR="003C5AB4" w:rsidRPr="00BC74EF">
        <w:rPr>
          <w:lang w:val="nl-NL"/>
        </w:rPr>
        <w:t xml:space="preserve">het recht op arbeid </w:t>
      </w:r>
      <w:r w:rsidR="008D018A" w:rsidRPr="00BC74EF">
        <w:rPr>
          <w:lang w:val="nl-NL"/>
        </w:rPr>
        <w:t xml:space="preserve">behandeld in </w:t>
      </w:r>
      <w:r w:rsidR="003C5AB4" w:rsidRPr="00BC74EF">
        <w:rPr>
          <w:lang w:val="nl-NL"/>
        </w:rPr>
        <w:t>artikel 8</w:t>
      </w:r>
      <w:r w:rsidR="00FC7F5F" w:rsidRPr="00BC74EF">
        <w:rPr>
          <w:lang w:val="nl-NL"/>
        </w:rPr>
        <w:t xml:space="preserve">, leden 1, 2 en </w:t>
      </w:r>
      <w:r w:rsidR="003C5AB4" w:rsidRPr="00BC74EF">
        <w:rPr>
          <w:lang w:val="nl-NL"/>
        </w:rPr>
        <w:t>3</w:t>
      </w:r>
      <w:r w:rsidR="008D018A" w:rsidRPr="00BC74EF">
        <w:rPr>
          <w:lang w:val="nl-NL"/>
        </w:rPr>
        <w:t xml:space="preserve">, </w:t>
      </w:r>
      <w:r w:rsidR="003C5AB4" w:rsidRPr="00BC74EF">
        <w:rPr>
          <w:lang w:val="nl-NL"/>
        </w:rPr>
        <w:t>onder a), van het Internationaal Verdrag inzake burgerrechten en politieke rechten</w:t>
      </w:r>
      <w:r w:rsidR="008D018A" w:rsidRPr="00BC74EF">
        <w:rPr>
          <w:lang w:val="nl-NL"/>
        </w:rPr>
        <w:t xml:space="preserve">, </w:t>
      </w:r>
      <w:r w:rsidR="003C5AB4" w:rsidRPr="00BC74EF">
        <w:rPr>
          <w:lang w:val="nl-NL"/>
        </w:rPr>
        <w:t>artikel 5, onder e), i) en ii), van het Internationaal Verdrag inzake de uitbanning van alle vormen van rassendiscriminatie</w:t>
      </w:r>
      <w:r w:rsidR="008D018A" w:rsidRPr="00BC74EF">
        <w:rPr>
          <w:lang w:val="nl-NL"/>
        </w:rPr>
        <w:t xml:space="preserve">, </w:t>
      </w:r>
      <w:r w:rsidR="003C5AB4" w:rsidRPr="00BC74EF">
        <w:rPr>
          <w:lang w:val="nl-NL"/>
        </w:rPr>
        <w:t>artikel 11 van het Verdrag inzake de uitbanning van alle vormen van discriminatie van vrouwen</w:t>
      </w:r>
      <w:r w:rsidR="008D018A" w:rsidRPr="00BC74EF">
        <w:rPr>
          <w:lang w:val="nl-NL"/>
        </w:rPr>
        <w:t xml:space="preserve">, </w:t>
      </w:r>
      <w:r w:rsidR="003C5AB4" w:rsidRPr="00BC74EF">
        <w:rPr>
          <w:lang w:val="nl-NL"/>
        </w:rPr>
        <w:t xml:space="preserve">artikel 32 van het Verdrag inzake de rechten van het kind en de artikelen 25, 26, 40, 52 en 54 van het Internationaal Verdrag inzake de bescherming van de rechten van alle migrerende werknemers en hun gezinsleden. </w:t>
      </w:r>
      <w:r w:rsidR="00EF2AE3" w:rsidRPr="00BC74EF">
        <w:rPr>
          <w:lang w:val="nl-NL"/>
        </w:rPr>
        <w:t>Evenzo heeft de Algemene Vergadering in haar Resolutie 2542 (XXIV) van 11 december 1969 het recht op arbeid afgekondigd in de Verklaring inzake sociale vooruitgang en ontwikkeling (art. 6).</w:t>
      </w:r>
    </w:p>
    <w:p w14:paraId="2AD7724D" w14:textId="176FBBCC" w:rsidR="00F6202B" w:rsidRPr="00BC74EF" w:rsidRDefault="006D79AC">
      <w:pPr>
        <w:pStyle w:val="SingleTxtG"/>
        <w:tabs>
          <w:tab w:val="clear" w:pos="2268"/>
        </w:tabs>
        <w:rPr>
          <w:lang w:val="nl-NL"/>
        </w:rPr>
      </w:pPr>
      <w:r w:rsidRPr="00BC74EF">
        <w:rPr>
          <w:lang w:val="nl-NL"/>
        </w:rPr>
        <w:t>10.</w:t>
      </w:r>
      <w:r w:rsidRPr="00BC74EF">
        <w:rPr>
          <w:lang w:val="nl-NL"/>
        </w:rPr>
        <w:tab/>
      </w:r>
      <w:r w:rsidR="003C5AB4" w:rsidRPr="00BC74EF">
        <w:rPr>
          <w:lang w:val="nl-NL"/>
        </w:rPr>
        <w:t xml:space="preserve">Verscheidene regionale instrumenten </w:t>
      </w:r>
      <w:r w:rsidR="009E658F" w:rsidRPr="00BC74EF">
        <w:rPr>
          <w:lang w:val="nl-NL"/>
        </w:rPr>
        <w:t xml:space="preserve">voorzien in </w:t>
      </w:r>
      <w:r w:rsidR="003C5AB4" w:rsidRPr="00BC74EF">
        <w:rPr>
          <w:lang w:val="nl-NL"/>
        </w:rPr>
        <w:t xml:space="preserve">het recht op werk </w:t>
      </w:r>
      <w:r w:rsidR="006A0BAE" w:rsidRPr="00BC74EF">
        <w:rPr>
          <w:lang w:val="nl-NL"/>
        </w:rPr>
        <w:t>-</w:t>
      </w:r>
      <w:r w:rsidR="003C5AB4" w:rsidRPr="00BC74EF">
        <w:rPr>
          <w:lang w:val="nl-NL"/>
        </w:rPr>
        <w:t xml:space="preserve"> waaronder het Europees Sociaal Handvest van 1961 (</w:t>
      </w:r>
      <w:r w:rsidR="009E658F" w:rsidRPr="00BC74EF">
        <w:rPr>
          <w:lang w:val="nl-NL"/>
        </w:rPr>
        <w:t xml:space="preserve">deel II, </w:t>
      </w:r>
      <w:r w:rsidR="003C5AB4" w:rsidRPr="00BC74EF">
        <w:rPr>
          <w:lang w:val="nl-NL"/>
        </w:rPr>
        <w:t xml:space="preserve">art. 1-10) en het </w:t>
      </w:r>
      <w:r w:rsidR="00BA4FC2">
        <w:rPr>
          <w:lang w:val="nl-NL"/>
        </w:rPr>
        <w:t xml:space="preserve">herzien </w:t>
      </w:r>
      <w:r w:rsidR="003C5AB4" w:rsidRPr="00BC74EF">
        <w:rPr>
          <w:lang w:val="nl-NL"/>
        </w:rPr>
        <w:t>Europees Sociaal Handvest van 1996 (deel II, art. 1-10), het Afrikaans Handvest van de rechten van de mens en de volkeren (art. 15) en het aanvullend protocol bij het Amerikaans Verdrag inzake de rechten van de mens op het gebied van economische, sociale en culturele rechten (</w:t>
      </w:r>
      <w:r w:rsidR="00FC7F5F" w:rsidRPr="00BC74EF">
        <w:rPr>
          <w:lang w:val="nl-NL"/>
        </w:rPr>
        <w:t>art</w:t>
      </w:r>
      <w:r w:rsidR="003C5AB4" w:rsidRPr="00BC74EF">
        <w:rPr>
          <w:lang w:val="nl-NL"/>
        </w:rPr>
        <w:t xml:space="preserve">. </w:t>
      </w:r>
      <w:r w:rsidR="00FC7F5F" w:rsidRPr="00BC74EF">
        <w:rPr>
          <w:lang w:val="nl-NL"/>
        </w:rPr>
        <w:t>6-8</w:t>
      </w:r>
      <w:r w:rsidR="00865712" w:rsidRPr="00BC74EF">
        <w:rPr>
          <w:lang w:val="nl-NL"/>
        </w:rPr>
        <w:t xml:space="preserve">) </w:t>
      </w:r>
      <w:r w:rsidR="00BA4FC2">
        <w:rPr>
          <w:lang w:val="nl-NL"/>
        </w:rPr>
        <w:t>–</w:t>
      </w:r>
      <w:r w:rsidR="00865712" w:rsidRPr="00BC74EF">
        <w:rPr>
          <w:lang w:val="nl-NL"/>
        </w:rPr>
        <w:t xml:space="preserve"> </w:t>
      </w:r>
      <w:r w:rsidR="00BA4FC2">
        <w:rPr>
          <w:lang w:val="nl-NL"/>
        </w:rPr>
        <w:t xml:space="preserve">waarin ook </w:t>
      </w:r>
      <w:r w:rsidR="003C5AB4" w:rsidRPr="00BC74EF">
        <w:rPr>
          <w:lang w:val="nl-NL"/>
        </w:rPr>
        <w:t xml:space="preserve">het beginsel </w:t>
      </w:r>
      <w:r w:rsidR="00BA4FC2">
        <w:rPr>
          <w:lang w:val="nl-NL"/>
        </w:rPr>
        <w:t xml:space="preserve">is vastgelegd </w:t>
      </w:r>
      <w:r w:rsidR="003C5AB4" w:rsidRPr="00BC74EF">
        <w:rPr>
          <w:lang w:val="nl-NL"/>
        </w:rPr>
        <w:t xml:space="preserve">dat de eerbiediging van het recht op werk de </w:t>
      </w:r>
      <w:r w:rsidR="003001A8">
        <w:rPr>
          <w:lang w:val="nl-NL"/>
        </w:rPr>
        <w:t>Staten die Partij</w:t>
      </w:r>
      <w:r w:rsidR="003C5AB4" w:rsidRPr="00BC74EF">
        <w:rPr>
          <w:lang w:val="nl-NL"/>
        </w:rPr>
        <w:t xml:space="preserve"> zijn de verplicht</w:t>
      </w:r>
      <w:r w:rsidR="00BA4FC2">
        <w:rPr>
          <w:lang w:val="nl-NL"/>
        </w:rPr>
        <w:t xml:space="preserve"> </w:t>
      </w:r>
      <w:r w:rsidR="003C5AB4" w:rsidRPr="00BC74EF">
        <w:rPr>
          <w:lang w:val="nl-NL"/>
        </w:rPr>
        <w:t xml:space="preserve">maatregelen te nemen </w:t>
      </w:r>
      <w:r w:rsidR="00BA4FC2">
        <w:rPr>
          <w:lang w:val="nl-NL"/>
        </w:rPr>
        <w:t>om</w:t>
      </w:r>
      <w:r w:rsidR="003C5AB4" w:rsidRPr="00BC74EF">
        <w:rPr>
          <w:lang w:val="nl-NL"/>
        </w:rPr>
        <w:t xml:space="preserve"> volledige werkgelegenheid</w:t>
      </w:r>
      <w:r w:rsidR="00BA4FC2">
        <w:rPr>
          <w:lang w:val="nl-NL"/>
        </w:rPr>
        <w:t xml:space="preserve"> te verwezenlijken</w:t>
      </w:r>
      <w:r w:rsidR="003C5AB4" w:rsidRPr="00BC74EF">
        <w:rPr>
          <w:lang w:val="nl-NL"/>
        </w:rPr>
        <w:t xml:space="preserve">. </w:t>
      </w:r>
    </w:p>
    <w:p w14:paraId="2648ABA5" w14:textId="50248080" w:rsidR="00F6202B" w:rsidRPr="00BA4FC2" w:rsidRDefault="006D79AC">
      <w:pPr>
        <w:pStyle w:val="SingleTxtG"/>
        <w:tabs>
          <w:tab w:val="clear" w:pos="2268"/>
        </w:tabs>
        <w:rPr>
          <w:strike/>
          <w:lang w:val="nl-NL"/>
        </w:rPr>
      </w:pPr>
      <w:r w:rsidRPr="00BC74EF">
        <w:rPr>
          <w:lang w:val="nl-NL"/>
        </w:rPr>
        <w:t>11.</w:t>
      </w:r>
      <w:r w:rsidRPr="00BC74EF">
        <w:rPr>
          <w:lang w:val="nl-NL"/>
        </w:rPr>
        <w:tab/>
      </w:r>
      <w:r w:rsidR="003C5AB4" w:rsidRPr="00BC74EF">
        <w:rPr>
          <w:lang w:val="nl-NL"/>
        </w:rPr>
        <w:t xml:space="preserve">De Internationale Arbeidsorganisatie (IAO) heeft </w:t>
      </w:r>
      <w:r w:rsidR="00BA4FC2">
        <w:rPr>
          <w:lang w:val="nl-NL"/>
        </w:rPr>
        <w:t>een aantal</w:t>
      </w:r>
      <w:r w:rsidR="003C5AB4" w:rsidRPr="00BC74EF">
        <w:rPr>
          <w:lang w:val="nl-NL"/>
        </w:rPr>
        <w:t xml:space="preserve"> fundamentele verdragen in</w:t>
      </w:r>
      <w:r w:rsidR="00BA4FC2">
        <w:rPr>
          <w:lang w:val="nl-NL"/>
        </w:rPr>
        <w:t xml:space="preserve">zake arbeidsrechten </w:t>
      </w:r>
      <w:r w:rsidR="003C5AB4" w:rsidRPr="00BC74EF">
        <w:rPr>
          <w:lang w:val="nl-NL"/>
        </w:rPr>
        <w:t>vastgesteld.</w:t>
      </w:r>
      <w:r w:rsidR="00A61F04">
        <w:rPr>
          <w:rStyle w:val="Voetnootmarkering"/>
          <w:lang w:val="nl-NL"/>
        </w:rPr>
        <w:footnoteReference w:id="9"/>
      </w:r>
      <w:r w:rsidR="003C5AB4" w:rsidRPr="00BC74EF">
        <w:rPr>
          <w:lang w:val="nl-NL"/>
        </w:rPr>
        <w:t xml:space="preserve"> De behandelde onderwerpen worden </w:t>
      </w:r>
      <w:r w:rsidR="00B23F21" w:rsidRPr="00BC74EF">
        <w:rPr>
          <w:lang w:val="nl-NL"/>
        </w:rPr>
        <w:t xml:space="preserve">beschouwd als </w:t>
      </w:r>
      <w:r w:rsidR="003C5AB4" w:rsidRPr="00BC74EF">
        <w:rPr>
          <w:lang w:val="nl-NL"/>
        </w:rPr>
        <w:t xml:space="preserve">fundamentele </w:t>
      </w:r>
      <w:r w:rsidR="00B23F21" w:rsidRPr="00BC74EF">
        <w:rPr>
          <w:lang w:val="nl-NL"/>
        </w:rPr>
        <w:t>beginselen en rechten op het werk</w:t>
      </w:r>
      <w:r w:rsidR="00EC0A4B" w:rsidRPr="00BC74EF">
        <w:rPr>
          <w:lang w:val="nl-NL"/>
        </w:rPr>
        <w:t xml:space="preserve">, en omvatten </w:t>
      </w:r>
      <w:r w:rsidR="003C5AB4" w:rsidRPr="00BC74EF">
        <w:rPr>
          <w:lang w:val="nl-NL"/>
        </w:rPr>
        <w:t>de vrijheid van vereniging en de effectieve erkenning van het recht op collectieve onderhandelingen, de uitbanning van alle vormen van gedwongen of verplichte arbeid, de effectieve afschaffing van kinderarbeid en de uitbanning van discriminatie in arbeid en beroep.</w:t>
      </w:r>
    </w:p>
    <w:p w14:paraId="4CEDB135" w14:textId="357E1A00" w:rsidR="00F6202B" w:rsidRPr="00BC74EF" w:rsidRDefault="002755DB">
      <w:pPr>
        <w:pStyle w:val="H1G"/>
        <w:rPr>
          <w:lang w:val="nl-NL"/>
        </w:rPr>
      </w:pPr>
      <w:r w:rsidRPr="00BC74EF">
        <w:rPr>
          <w:lang w:val="nl-NL"/>
        </w:rPr>
        <w:tab/>
      </w:r>
      <w:r w:rsidR="00E65790" w:rsidRPr="00BC74EF">
        <w:rPr>
          <w:lang w:val="nl-NL"/>
        </w:rPr>
        <w:t>A.</w:t>
      </w:r>
      <w:r w:rsidRPr="00BC74EF">
        <w:rPr>
          <w:lang w:val="nl-NL"/>
        </w:rPr>
        <w:tab/>
      </w:r>
      <w:r w:rsidR="003C5AB4" w:rsidRPr="00BC74EF">
        <w:rPr>
          <w:lang w:val="nl-NL"/>
        </w:rPr>
        <w:t xml:space="preserve">Recht </w:t>
      </w:r>
      <w:r w:rsidR="00E65790" w:rsidRPr="00BC74EF">
        <w:rPr>
          <w:lang w:val="nl-NL"/>
        </w:rPr>
        <w:t xml:space="preserve">op </w:t>
      </w:r>
      <w:r w:rsidR="001E55F9" w:rsidRPr="00BC74EF">
        <w:rPr>
          <w:lang w:val="nl-NL"/>
        </w:rPr>
        <w:t>arbeid</w:t>
      </w:r>
      <w:r w:rsidR="003C5AB4" w:rsidRPr="00BC74EF">
        <w:rPr>
          <w:lang w:val="nl-NL"/>
        </w:rPr>
        <w:t xml:space="preserve">, op voet van gelijkheid met anderen, </w:t>
      </w:r>
      <w:r w:rsidR="001E55F9" w:rsidRPr="00BC74EF">
        <w:rPr>
          <w:lang w:val="nl-NL"/>
        </w:rPr>
        <w:t xml:space="preserve">met inbegrip van </w:t>
      </w:r>
      <w:r w:rsidR="00BA4FC2">
        <w:rPr>
          <w:lang w:val="nl-NL"/>
        </w:rPr>
        <w:t>de mogelijkheid om in</w:t>
      </w:r>
      <w:r w:rsidR="001E55F9" w:rsidRPr="00BC74EF">
        <w:rPr>
          <w:lang w:val="nl-NL"/>
        </w:rPr>
        <w:t xml:space="preserve"> het levensonderhoud te voorzien </w:t>
      </w:r>
      <w:r w:rsidR="00E65790" w:rsidRPr="00BC74EF">
        <w:rPr>
          <w:lang w:val="nl-NL"/>
        </w:rPr>
        <w:t xml:space="preserve">door </w:t>
      </w:r>
      <w:r w:rsidR="003C5AB4" w:rsidRPr="00BC74EF">
        <w:rPr>
          <w:lang w:val="nl-NL"/>
        </w:rPr>
        <w:t xml:space="preserve">vrij gekozen of aanvaarde </w:t>
      </w:r>
      <w:r w:rsidR="00E65790" w:rsidRPr="00BC74EF">
        <w:rPr>
          <w:lang w:val="nl-NL"/>
        </w:rPr>
        <w:t xml:space="preserve">arbeid </w:t>
      </w:r>
      <w:r w:rsidR="003C5AB4" w:rsidRPr="00BC74EF">
        <w:rPr>
          <w:lang w:val="nl-NL"/>
        </w:rPr>
        <w:t xml:space="preserve">op een open, inclusieve en toegankelijke </w:t>
      </w:r>
      <w:r w:rsidR="00BA4FC2">
        <w:rPr>
          <w:lang w:val="nl-NL"/>
        </w:rPr>
        <w:t>werkomgeving</w:t>
      </w:r>
      <w:r w:rsidR="003C5AB4" w:rsidRPr="00BC74EF">
        <w:rPr>
          <w:lang w:val="nl-NL"/>
        </w:rPr>
        <w:t xml:space="preserve"> </w:t>
      </w:r>
      <w:r w:rsidR="00E65790" w:rsidRPr="00BC74EF">
        <w:rPr>
          <w:lang w:val="nl-NL"/>
        </w:rPr>
        <w:t xml:space="preserve">(artikel 27, lid 1, </w:t>
      </w:r>
      <w:r w:rsidR="00BA4FC2">
        <w:rPr>
          <w:lang w:val="nl-NL"/>
        </w:rPr>
        <w:t>aanhef</w:t>
      </w:r>
      <w:r w:rsidR="003C5AB4" w:rsidRPr="00BC74EF">
        <w:rPr>
          <w:lang w:val="nl-NL"/>
        </w:rPr>
        <w:t xml:space="preserve">) </w:t>
      </w:r>
    </w:p>
    <w:p w14:paraId="55B4170B" w14:textId="29CA88D7" w:rsidR="00F6202B" w:rsidRPr="00BC74EF" w:rsidRDefault="006D79AC">
      <w:pPr>
        <w:pStyle w:val="SingleTxtG"/>
        <w:tabs>
          <w:tab w:val="clear" w:pos="2268"/>
        </w:tabs>
        <w:rPr>
          <w:lang w:val="nl-NL"/>
        </w:rPr>
      </w:pPr>
      <w:r w:rsidRPr="00BC74EF">
        <w:rPr>
          <w:lang w:val="nl-NL"/>
        </w:rPr>
        <w:t>12.</w:t>
      </w:r>
      <w:r w:rsidRPr="00BC74EF">
        <w:rPr>
          <w:lang w:val="nl-NL"/>
        </w:rPr>
        <w:tab/>
      </w:r>
      <w:bookmarkStart w:id="9" w:name="_Hlk103251897"/>
      <w:r w:rsidR="00BA4FC2">
        <w:rPr>
          <w:lang w:val="nl-NL"/>
        </w:rPr>
        <w:t xml:space="preserve">Krachtens artikel 27, lid 1 van het Verdrag erkennen de Staten die Partij zijn </w:t>
      </w:r>
      <w:r w:rsidR="003C5AB4" w:rsidRPr="00BC74EF">
        <w:rPr>
          <w:lang w:val="nl-NL"/>
        </w:rPr>
        <w:t>het recht van</w:t>
      </w:r>
      <w:r w:rsidR="00FF34DA">
        <w:rPr>
          <w:lang w:val="nl-NL"/>
        </w:rPr>
        <w:t xml:space="preserve"> personen met een handicap </w:t>
      </w:r>
      <w:r w:rsidR="003C5AB4" w:rsidRPr="00BC74EF">
        <w:rPr>
          <w:lang w:val="nl-NL"/>
        </w:rPr>
        <w:t>op arbeid</w:t>
      </w:r>
      <w:r w:rsidR="00A90060" w:rsidRPr="00BC74EF">
        <w:rPr>
          <w:lang w:val="nl-NL"/>
        </w:rPr>
        <w:t xml:space="preserve">, </w:t>
      </w:r>
      <w:r w:rsidR="003C5AB4" w:rsidRPr="00BC74EF">
        <w:rPr>
          <w:lang w:val="nl-NL"/>
        </w:rPr>
        <w:t xml:space="preserve">op voet van gelijkheid met anderen, met inbegrip van </w:t>
      </w:r>
      <w:r w:rsidR="00BA4FC2">
        <w:rPr>
          <w:lang w:val="nl-NL"/>
        </w:rPr>
        <w:t>de mogelijkheid</w:t>
      </w:r>
      <w:r w:rsidR="005F195E" w:rsidRPr="00BC74EF">
        <w:rPr>
          <w:lang w:val="nl-NL"/>
        </w:rPr>
        <w:t xml:space="preserve"> </w:t>
      </w:r>
      <w:r w:rsidR="003C5AB4" w:rsidRPr="00BC74EF">
        <w:rPr>
          <w:lang w:val="nl-NL"/>
        </w:rPr>
        <w:t xml:space="preserve">om in hun levensonderhoud te voorzien door vrij gekozen of aanvaard </w:t>
      </w:r>
      <w:r w:rsidR="005F195E" w:rsidRPr="00BC74EF">
        <w:rPr>
          <w:lang w:val="nl-NL"/>
        </w:rPr>
        <w:t xml:space="preserve">werk </w:t>
      </w:r>
      <w:r w:rsidR="003C5AB4" w:rsidRPr="00BC74EF">
        <w:rPr>
          <w:lang w:val="nl-NL"/>
        </w:rPr>
        <w:t xml:space="preserve">op een arbeidsmarkt en in een werkomgeving </w:t>
      </w:r>
      <w:r w:rsidR="005F195E" w:rsidRPr="00BC74EF">
        <w:rPr>
          <w:lang w:val="nl-NL"/>
        </w:rPr>
        <w:t xml:space="preserve">die open, inclusief en toegankelijk is voor </w:t>
      </w:r>
      <w:r w:rsidR="00BA4FC2">
        <w:rPr>
          <w:lang w:val="nl-NL"/>
        </w:rPr>
        <w:lastRenderedPageBreak/>
        <w:t>personen met een handicap</w:t>
      </w:r>
      <w:r w:rsidR="003C5AB4" w:rsidRPr="00BC74EF">
        <w:rPr>
          <w:lang w:val="nl-NL"/>
        </w:rPr>
        <w:t xml:space="preserve">. </w:t>
      </w:r>
      <w:r w:rsidR="00BA4FC2">
        <w:rPr>
          <w:lang w:val="nl-NL"/>
        </w:rPr>
        <w:t>Dit concept weerspiegelt</w:t>
      </w:r>
      <w:r w:rsidR="00A86F65" w:rsidRPr="00BC74EF">
        <w:rPr>
          <w:lang w:val="nl-NL"/>
        </w:rPr>
        <w:t xml:space="preserve"> de jurisprudentie van </w:t>
      </w:r>
      <w:r w:rsidR="00312CD5" w:rsidRPr="00BC74EF">
        <w:rPr>
          <w:lang w:val="nl-NL"/>
        </w:rPr>
        <w:t xml:space="preserve">het Comité voor economische, sociale en culturele rechten </w:t>
      </w:r>
      <w:r w:rsidR="00A86F65" w:rsidRPr="00BC74EF">
        <w:rPr>
          <w:lang w:val="nl-NL"/>
        </w:rPr>
        <w:t xml:space="preserve">waarin het </w:t>
      </w:r>
      <w:r w:rsidR="00312CD5" w:rsidRPr="00BC74EF">
        <w:rPr>
          <w:lang w:val="nl-NL"/>
        </w:rPr>
        <w:t>beginsel van gelijkheid in verband met werk en werkgelegenheid</w:t>
      </w:r>
      <w:bookmarkStart w:id="10" w:name="_Hlk103941852"/>
      <w:r w:rsidR="00312CD5" w:rsidRPr="00BC74EF">
        <w:rPr>
          <w:lang w:val="nl-NL"/>
        </w:rPr>
        <w:t xml:space="preserve"> door personen met een handicap </w:t>
      </w:r>
      <w:r w:rsidR="00A86F65" w:rsidRPr="00BC74EF">
        <w:rPr>
          <w:lang w:val="nl-NL"/>
        </w:rPr>
        <w:t xml:space="preserve">wordt </w:t>
      </w:r>
      <w:r w:rsidR="00887969">
        <w:rPr>
          <w:lang w:val="nl-NL"/>
        </w:rPr>
        <w:t>bevestigd</w:t>
      </w:r>
      <w:r w:rsidR="00A86F65" w:rsidRPr="00BC74EF">
        <w:rPr>
          <w:lang w:val="nl-NL"/>
        </w:rPr>
        <w:t>, en</w:t>
      </w:r>
      <w:r w:rsidR="00887969">
        <w:rPr>
          <w:lang w:val="nl-NL"/>
        </w:rPr>
        <w:t xml:space="preserve"> aanstipt </w:t>
      </w:r>
      <w:r w:rsidR="00A86F65" w:rsidRPr="00BC74EF">
        <w:rPr>
          <w:lang w:val="nl-NL"/>
        </w:rPr>
        <w:t xml:space="preserve">dat </w:t>
      </w:r>
      <w:r w:rsidR="00312CD5" w:rsidRPr="00BC74EF">
        <w:rPr>
          <w:lang w:val="nl-NL"/>
        </w:rPr>
        <w:t xml:space="preserve">het recht van </w:t>
      </w:r>
      <w:r w:rsidR="00887969">
        <w:rPr>
          <w:lang w:val="nl-NL"/>
        </w:rPr>
        <w:t>eenieder</w:t>
      </w:r>
      <w:r w:rsidR="00312CD5" w:rsidRPr="00BC74EF">
        <w:rPr>
          <w:lang w:val="nl-NL"/>
        </w:rPr>
        <w:t xml:space="preserve"> om in </w:t>
      </w:r>
      <w:r w:rsidR="00887969">
        <w:rPr>
          <w:lang w:val="nl-NL"/>
        </w:rPr>
        <w:t>zijn of haar</w:t>
      </w:r>
      <w:r w:rsidR="00312CD5" w:rsidRPr="00BC74EF">
        <w:rPr>
          <w:lang w:val="nl-NL"/>
        </w:rPr>
        <w:t xml:space="preserve"> levensonderhoud te voorzien door </w:t>
      </w:r>
      <w:r w:rsidR="00887969">
        <w:rPr>
          <w:lang w:val="nl-NL"/>
        </w:rPr>
        <w:t>vrij gekozen en aanvaard werk</w:t>
      </w:r>
      <w:r w:rsidR="00312CD5" w:rsidRPr="00BC74EF">
        <w:rPr>
          <w:lang w:val="nl-NL"/>
        </w:rPr>
        <w:t>, niet wordt gerealiseerd wanneer de enige reële mogelijkheid voor personen met een handicap bestaat uit werken in</w:t>
      </w:r>
      <w:r w:rsidR="00887969">
        <w:rPr>
          <w:lang w:val="nl-NL"/>
        </w:rPr>
        <w:t xml:space="preserve"> een</w:t>
      </w:r>
      <w:r w:rsidR="00312CD5" w:rsidRPr="00BC74EF">
        <w:rPr>
          <w:lang w:val="nl-NL"/>
        </w:rPr>
        <w:t xml:space="preserve"> ges</w:t>
      </w:r>
      <w:r w:rsidR="00887969">
        <w:rPr>
          <w:lang w:val="nl-NL"/>
        </w:rPr>
        <w:t>egregeerde omgeving</w:t>
      </w:r>
      <w:bookmarkEnd w:id="10"/>
      <w:r w:rsidR="00887969">
        <w:rPr>
          <w:lang w:val="nl-NL"/>
        </w:rPr>
        <w:t>,</w:t>
      </w:r>
      <w:r w:rsidR="00312CD5" w:rsidRPr="00BC74EF">
        <w:rPr>
          <w:vertAlign w:val="superscript"/>
          <w:lang w:val="nl-NL"/>
        </w:rPr>
        <w:footnoteReference w:id="10"/>
      </w:r>
      <w:bookmarkStart w:id="12" w:name="_Hlk103941908"/>
      <w:r w:rsidR="00887969">
        <w:rPr>
          <w:lang w:val="nl-NL"/>
        </w:rPr>
        <w:t xml:space="preserve"> en d</w:t>
      </w:r>
      <w:r w:rsidR="00312CD5" w:rsidRPr="00BC74EF">
        <w:rPr>
          <w:lang w:val="nl-NL"/>
        </w:rPr>
        <w:t>at</w:t>
      </w:r>
      <w:r w:rsidR="00FF34DA">
        <w:rPr>
          <w:lang w:val="nl-NL"/>
        </w:rPr>
        <w:t xml:space="preserve"> personen met een handicap </w:t>
      </w:r>
      <w:r w:rsidR="00312CD5" w:rsidRPr="00BC74EF">
        <w:rPr>
          <w:lang w:val="nl-NL"/>
        </w:rPr>
        <w:t xml:space="preserve">niet mogen worden </w:t>
      </w:r>
      <w:r w:rsidR="00887969">
        <w:rPr>
          <w:lang w:val="nl-NL"/>
        </w:rPr>
        <w:t>beperkt tot</w:t>
      </w:r>
      <w:r w:rsidR="00312CD5" w:rsidRPr="00BC74EF">
        <w:rPr>
          <w:lang w:val="nl-NL"/>
        </w:rPr>
        <w:t xml:space="preserve"> sociale werkplaatsen.</w:t>
      </w:r>
      <w:r w:rsidR="00312CD5" w:rsidRPr="00BC74EF">
        <w:rPr>
          <w:vertAlign w:val="superscript"/>
          <w:lang w:val="nl-NL"/>
        </w:rPr>
        <w:footnoteReference w:id="11"/>
      </w:r>
      <w:r w:rsidR="00A7663A" w:rsidRPr="00BC74EF">
        <w:rPr>
          <w:lang w:val="nl-NL"/>
        </w:rPr>
        <w:t xml:space="preserve">  In artikel 27, lid 1</w:t>
      </w:r>
      <w:r w:rsidR="00887969">
        <w:rPr>
          <w:lang w:val="nl-NL"/>
        </w:rPr>
        <w:t xml:space="preserve"> stelt duidelijk hoe dit recht moet worden gewaarborgd en maakt duidelijk dat gesegregeerde werkplekken niet verenigbaar zijn met dit recht.</w:t>
      </w:r>
      <w:bookmarkEnd w:id="9"/>
      <w:bookmarkEnd w:id="12"/>
    </w:p>
    <w:p w14:paraId="78E4E433" w14:textId="7C4306DF" w:rsidR="00F6202B" w:rsidRPr="00BC74EF" w:rsidRDefault="006D79AC">
      <w:pPr>
        <w:pStyle w:val="SingleTxtG"/>
        <w:tabs>
          <w:tab w:val="clear" w:pos="2268"/>
        </w:tabs>
        <w:rPr>
          <w:lang w:val="nl-NL"/>
        </w:rPr>
      </w:pPr>
      <w:r w:rsidRPr="00BC74EF">
        <w:rPr>
          <w:lang w:val="nl-NL"/>
        </w:rPr>
        <w:t>13.</w:t>
      </w:r>
      <w:r w:rsidRPr="00BC74EF">
        <w:rPr>
          <w:lang w:val="nl-NL"/>
        </w:rPr>
        <w:tab/>
      </w:r>
      <w:r w:rsidR="003C5AB4" w:rsidRPr="00BC74EF">
        <w:rPr>
          <w:lang w:val="nl-NL"/>
        </w:rPr>
        <w:t xml:space="preserve">Ondanks enige vooruitgang blijven </w:t>
      </w:r>
      <w:r w:rsidR="005F195E" w:rsidRPr="00BC74EF">
        <w:rPr>
          <w:lang w:val="nl-NL"/>
        </w:rPr>
        <w:t xml:space="preserve">het gebrek aan </w:t>
      </w:r>
      <w:r w:rsidR="003C5AB4" w:rsidRPr="00BC74EF">
        <w:rPr>
          <w:lang w:val="nl-NL"/>
        </w:rPr>
        <w:t xml:space="preserve">toegang tot de open arbeidsmarkt en segregatie </w:t>
      </w:r>
      <w:r w:rsidR="002761E8" w:rsidRPr="00BC74EF">
        <w:rPr>
          <w:lang w:val="nl-NL"/>
        </w:rPr>
        <w:t xml:space="preserve">de </w:t>
      </w:r>
      <w:r w:rsidR="003C5AB4" w:rsidRPr="00BC74EF">
        <w:rPr>
          <w:lang w:val="nl-NL"/>
        </w:rPr>
        <w:t xml:space="preserve">grootste uitdagingen voor personen met een handicap. </w:t>
      </w:r>
      <w:r w:rsidR="00A74CFD" w:rsidRPr="00BC74EF">
        <w:rPr>
          <w:lang w:val="nl-NL"/>
        </w:rPr>
        <w:t xml:space="preserve">Discriminatie, zoals het </w:t>
      </w:r>
      <w:r w:rsidR="003C5AB4" w:rsidRPr="00BC74EF">
        <w:rPr>
          <w:lang w:val="nl-NL"/>
        </w:rPr>
        <w:t>weigeren van redelijke aanpassingen, ontoegankelijke werkplekken en intimidatie, vormen verdere obstakels voor werkgelegenheid op een open arbeidsmarkt en werkomgeving</w:t>
      </w:r>
      <w:r w:rsidR="005F195E" w:rsidRPr="00BC74EF">
        <w:rPr>
          <w:lang w:val="nl-NL"/>
        </w:rPr>
        <w:t xml:space="preserve">, </w:t>
      </w:r>
      <w:r w:rsidR="00887969">
        <w:rPr>
          <w:lang w:val="nl-NL"/>
        </w:rPr>
        <w:t>waardoor personen met een handicap geen echte keuzes kunnen maken met betrekking tot hun tewerkstelling</w:t>
      </w:r>
      <w:r w:rsidR="003C5AB4" w:rsidRPr="00BC74EF">
        <w:rPr>
          <w:lang w:val="nl-NL"/>
        </w:rPr>
        <w:t xml:space="preserve">. Het </w:t>
      </w:r>
      <w:r w:rsidR="005F195E" w:rsidRPr="00BC74EF">
        <w:rPr>
          <w:lang w:val="nl-NL"/>
        </w:rPr>
        <w:t xml:space="preserve">IAO-verdrag </w:t>
      </w:r>
      <w:r w:rsidR="003C5AB4" w:rsidRPr="00BC74EF">
        <w:rPr>
          <w:lang w:val="nl-NL"/>
        </w:rPr>
        <w:t xml:space="preserve">inzake het werkgelegenheidsbeleid </w:t>
      </w:r>
      <w:r w:rsidR="005F195E" w:rsidRPr="00BC74EF">
        <w:rPr>
          <w:lang w:val="nl-NL"/>
        </w:rPr>
        <w:t xml:space="preserve">van </w:t>
      </w:r>
      <w:r w:rsidR="003C5AB4" w:rsidRPr="00BC74EF">
        <w:rPr>
          <w:lang w:val="nl-NL"/>
        </w:rPr>
        <w:t xml:space="preserve">1964 </w:t>
      </w:r>
      <w:r w:rsidR="005F195E" w:rsidRPr="00BC74EF">
        <w:rPr>
          <w:lang w:val="nl-NL"/>
        </w:rPr>
        <w:t>(nr. 122</w:t>
      </w:r>
      <w:r w:rsidR="003C5AB4" w:rsidRPr="00BC74EF">
        <w:rPr>
          <w:lang w:val="nl-NL"/>
        </w:rPr>
        <w:t xml:space="preserve">) </w:t>
      </w:r>
      <w:r w:rsidR="005F195E" w:rsidRPr="00BC74EF">
        <w:rPr>
          <w:lang w:val="nl-NL"/>
        </w:rPr>
        <w:t xml:space="preserve">verwijst naar </w:t>
      </w:r>
      <w:r w:rsidR="003C5AB4" w:rsidRPr="00BC74EF">
        <w:rPr>
          <w:lang w:val="nl-NL"/>
        </w:rPr>
        <w:t xml:space="preserve">"volledige, productieve en vrij gekozen werkgelegenheid", en koppelt de verplichting </w:t>
      </w:r>
      <w:r w:rsidR="005F195E" w:rsidRPr="00BC74EF">
        <w:rPr>
          <w:lang w:val="nl-NL"/>
        </w:rPr>
        <w:t xml:space="preserve">van de </w:t>
      </w:r>
      <w:r w:rsidR="003001A8">
        <w:rPr>
          <w:lang w:val="nl-NL"/>
        </w:rPr>
        <w:t>Staten die Partij</w:t>
      </w:r>
      <w:r w:rsidR="005F195E" w:rsidRPr="00BC74EF">
        <w:rPr>
          <w:lang w:val="nl-NL"/>
        </w:rPr>
        <w:t xml:space="preserve"> zijn </w:t>
      </w:r>
      <w:r w:rsidR="003C5AB4" w:rsidRPr="00BC74EF">
        <w:rPr>
          <w:lang w:val="nl-NL"/>
        </w:rPr>
        <w:t xml:space="preserve">om de voorwaarden voor volledige werkgelegenheid te scheppen aan </w:t>
      </w:r>
      <w:r w:rsidR="005F195E" w:rsidRPr="00BC74EF">
        <w:rPr>
          <w:lang w:val="nl-NL"/>
        </w:rPr>
        <w:t xml:space="preserve">hun </w:t>
      </w:r>
      <w:r w:rsidR="003C5AB4" w:rsidRPr="00BC74EF">
        <w:rPr>
          <w:lang w:val="nl-NL"/>
        </w:rPr>
        <w:t>verplichting om te zorgen voor de afwezigheid van dwangarbeid.</w:t>
      </w:r>
    </w:p>
    <w:p w14:paraId="00136541" w14:textId="77777777" w:rsidR="00F6202B" w:rsidRPr="00BC74EF" w:rsidRDefault="006D79AC">
      <w:pPr>
        <w:pStyle w:val="SingleTxtG"/>
        <w:tabs>
          <w:tab w:val="clear" w:pos="2268"/>
        </w:tabs>
        <w:rPr>
          <w:lang w:val="nl-NL"/>
        </w:rPr>
      </w:pPr>
      <w:r w:rsidRPr="00BC74EF">
        <w:rPr>
          <w:lang w:val="nl-NL"/>
        </w:rPr>
        <w:t>14.</w:t>
      </w:r>
      <w:r w:rsidRPr="00BC74EF">
        <w:rPr>
          <w:lang w:val="nl-NL"/>
        </w:rPr>
        <w:tab/>
      </w:r>
      <w:r w:rsidR="003C5AB4" w:rsidRPr="00BC74EF">
        <w:rPr>
          <w:lang w:val="nl-NL"/>
        </w:rPr>
        <w:t xml:space="preserve">Het Comité merkt op dat </w:t>
      </w:r>
      <w:r w:rsidR="00A86F65" w:rsidRPr="00BC74EF">
        <w:rPr>
          <w:lang w:val="nl-NL"/>
        </w:rPr>
        <w:t>gesegregeerde arbeid</w:t>
      </w:r>
      <w:r w:rsidR="004F584F" w:rsidRPr="00BC74EF">
        <w:rPr>
          <w:lang w:val="nl-NL"/>
        </w:rPr>
        <w:t xml:space="preserve">, </w:t>
      </w:r>
      <w:r w:rsidR="00A86F65" w:rsidRPr="00BC74EF">
        <w:rPr>
          <w:lang w:val="nl-NL"/>
        </w:rPr>
        <w:t xml:space="preserve">zoals </w:t>
      </w:r>
      <w:r w:rsidR="003C5AB4" w:rsidRPr="00BC74EF">
        <w:rPr>
          <w:lang w:val="nl-NL"/>
        </w:rPr>
        <w:t>beschutte werkplaatsen</w:t>
      </w:r>
      <w:r w:rsidR="004F584F" w:rsidRPr="00BC74EF">
        <w:rPr>
          <w:lang w:val="nl-NL"/>
        </w:rPr>
        <w:t xml:space="preserve">, </w:t>
      </w:r>
      <w:r w:rsidR="003C5AB4" w:rsidRPr="00BC74EF">
        <w:rPr>
          <w:lang w:val="nl-NL"/>
        </w:rPr>
        <w:t xml:space="preserve">een verscheidenheid aan praktijken en ervaringen omvat, die gekenmerkt worden door ten minste enkele van de volgende elementen: </w:t>
      </w:r>
    </w:p>
    <w:p w14:paraId="0320114F" w14:textId="53C46861" w:rsidR="00F6202B" w:rsidRPr="00BC74EF" w:rsidRDefault="002755DB">
      <w:pPr>
        <w:pStyle w:val="SingleTxtG"/>
        <w:tabs>
          <w:tab w:val="clear" w:pos="1701"/>
          <w:tab w:val="clear" w:pos="2268"/>
          <w:tab w:val="left" w:pos="1560"/>
        </w:tabs>
        <w:ind w:firstLine="567"/>
        <w:rPr>
          <w:lang w:val="nl-NL"/>
        </w:rPr>
      </w:pPr>
      <w:r w:rsidRPr="00BC74EF">
        <w:rPr>
          <w:lang w:val="nl-NL"/>
        </w:rPr>
        <w:t>(a)</w:t>
      </w:r>
      <w:r w:rsidRPr="00BC74EF">
        <w:rPr>
          <w:lang w:val="nl-NL"/>
        </w:rPr>
        <w:tab/>
      </w:r>
      <w:r w:rsidR="00887969">
        <w:rPr>
          <w:lang w:val="nl-NL"/>
        </w:rPr>
        <w:t>P</w:t>
      </w:r>
      <w:r w:rsidR="003C5AB4" w:rsidRPr="00BC74EF">
        <w:rPr>
          <w:lang w:val="nl-NL"/>
        </w:rPr>
        <w:t>ersonen met een handicap</w:t>
      </w:r>
      <w:r w:rsidR="00887969">
        <w:rPr>
          <w:lang w:val="nl-NL"/>
        </w:rPr>
        <w:t xml:space="preserve"> worden gesegregeerd en uitgesloten van reguliere</w:t>
      </w:r>
      <w:r w:rsidR="00066FAC" w:rsidRPr="00BC74EF">
        <w:rPr>
          <w:lang w:val="nl-NL"/>
        </w:rPr>
        <w:t xml:space="preserve">, inclusieve en toegankelijke werkgelegenheid; </w:t>
      </w:r>
    </w:p>
    <w:p w14:paraId="0044BB00" w14:textId="5538D14C" w:rsidR="00F6202B" w:rsidRPr="00BC74EF" w:rsidRDefault="002755DB">
      <w:pPr>
        <w:pStyle w:val="SingleTxtG"/>
        <w:tabs>
          <w:tab w:val="clear" w:pos="2268"/>
        </w:tabs>
        <w:ind w:firstLine="567"/>
        <w:rPr>
          <w:lang w:val="nl-NL"/>
        </w:rPr>
      </w:pPr>
      <w:r w:rsidRPr="00BC74EF">
        <w:rPr>
          <w:lang w:val="nl-NL"/>
        </w:rPr>
        <w:t>(b)</w:t>
      </w:r>
      <w:r w:rsidRPr="00BC74EF">
        <w:rPr>
          <w:lang w:val="nl-NL"/>
        </w:rPr>
        <w:tab/>
      </w:r>
      <w:r w:rsidR="00887969">
        <w:rPr>
          <w:lang w:val="nl-NL"/>
        </w:rPr>
        <w:t>De werkgelegenheid is</w:t>
      </w:r>
      <w:r w:rsidR="003C5AB4" w:rsidRPr="00BC74EF">
        <w:rPr>
          <w:lang w:val="nl-NL"/>
        </w:rPr>
        <w:t xml:space="preserve"> georganiseerd rond bepaalde specifieke activiteiten die personen met een handicap geacht worden te kunnen uitvoeren; </w:t>
      </w:r>
    </w:p>
    <w:p w14:paraId="67C6B214" w14:textId="51D91223" w:rsidR="00F6202B" w:rsidRPr="00BC74EF" w:rsidRDefault="002755DB">
      <w:pPr>
        <w:pStyle w:val="SingleTxtG"/>
        <w:tabs>
          <w:tab w:val="clear" w:pos="1701"/>
          <w:tab w:val="clear" w:pos="2268"/>
          <w:tab w:val="left" w:pos="1560"/>
        </w:tabs>
        <w:ind w:firstLine="567"/>
        <w:rPr>
          <w:lang w:val="nl-NL"/>
        </w:rPr>
      </w:pPr>
      <w:r w:rsidRPr="00BC74EF">
        <w:rPr>
          <w:lang w:val="nl-NL"/>
        </w:rPr>
        <w:t>(c)</w:t>
      </w:r>
      <w:r w:rsidRPr="00BC74EF">
        <w:rPr>
          <w:lang w:val="nl-NL"/>
        </w:rPr>
        <w:tab/>
      </w:r>
      <w:r w:rsidR="00887969">
        <w:rPr>
          <w:lang w:val="nl-NL"/>
        </w:rPr>
        <w:t xml:space="preserve">De </w:t>
      </w:r>
      <w:r w:rsidR="003C5AB4" w:rsidRPr="00BC74EF">
        <w:rPr>
          <w:lang w:val="nl-NL"/>
        </w:rPr>
        <w:t xml:space="preserve">medische en revalidatiebenaderingen </w:t>
      </w:r>
      <w:r w:rsidR="00F11E9B" w:rsidRPr="00BC74EF">
        <w:rPr>
          <w:lang w:val="nl-NL"/>
        </w:rPr>
        <w:t>van handicap</w:t>
      </w:r>
      <w:r w:rsidR="00887969">
        <w:rPr>
          <w:lang w:val="nl-NL"/>
        </w:rPr>
        <w:t xml:space="preserve"> worden aangehouden</w:t>
      </w:r>
      <w:r w:rsidR="00F11E9B" w:rsidRPr="00BC74EF">
        <w:rPr>
          <w:lang w:val="nl-NL"/>
        </w:rPr>
        <w:t xml:space="preserve">; </w:t>
      </w:r>
    </w:p>
    <w:p w14:paraId="4CAA9110" w14:textId="2EC2052D" w:rsidR="00F6202B" w:rsidRPr="00BC74EF" w:rsidRDefault="002755DB">
      <w:pPr>
        <w:pStyle w:val="SingleTxtG"/>
        <w:tabs>
          <w:tab w:val="clear" w:pos="1701"/>
          <w:tab w:val="clear" w:pos="2268"/>
          <w:tab w:val="left" w:pos="1560"/>
        </w:tabs>
        <w:ind w:firstLine="567"/>
        <w:rPr>
          <w:lang w:val="nl-NL"/>
        </w:rPr>
      </w:pPr>
      <w:r w:rsidRPr="00BC74EF">
        <w:rPr>
          <w:lang w:val="nl-NL"/>
        </w:rPr>
        <w:t>(d)</w:t>
      </w:r>
      <w:r w:rsidRPr="00BC74EF">
        <w:rPr>
          <w:lang w:val="nl-NL"/>
        </w:rPr>
        <w:tab/>
      </w:r>
      <w:r w:rsidR="00887969">
        <w:rPr>
          <w:lang w:val="nl-NL"/>
        </w:rPr>
        <w:t xml:space="preserve">De </w:t>
      </w:r>
      <w:r w:rsidR="003C5AB4" w:rsidRPr="00BC74EF">
        <w:rPr>
          <w:lang w:val="nl-NL"/>
        </w:rPr>
        <w:t>overgang naar de open arbeidsmarkt</w:t>
      </w:r>
      <w:r w:rsidR="00887969">
        <w:rPr>
          <w:lang w:val="nl-NL"/>
        </w:rPr>
        <w:t xml:space="preserve"> wordt</w:t>
      </w:r>
      <w:r w:rsidR="003C5AB4" w:rsidRPr="00BC74EF">
        <w:rPr>
          <w:lang w:val="nl-NL"/>
        </w:rPr>
        <w:t xml:space="preserve"> niet effectief</w:t>
      </w:r>
      <w:r w:rsidR="00887969">
        <w:rPr>
          <w:lang w:val="nl-NL"/>
        </w:rPr>
        <w:t xml:space="preserve"> aangemoedigd</w:t>
      </w:r>
      <w:r w:rsidR="003C5AB4" w:rsidRPr="00BC74EF">
        <w:rPr>
          <w:lang w:val="nl-NL"/>
        </w:rPr>
        <w:t xml:space="preserve">; </w:t>
      </w:r>
    </w:p>
    <w:p w14:paraId="468BE2C3" w14:textId="77777777" w:rsidR="00F6202B" w:rsidRPr="00BC74EF" w:rsidRDefault="002755DB">
      <w:pPr>
        <w:pStyle w:val="SingleTxtG"/>
        <w:tabs>
          <w:tab w:val="clear" w:pos="1701"/>
          <w:tab w:val="clear" w:pos="2268"/>
          <w:tab w:val="left" w:pos="1560"/>
        </w:tabs>
        <w:ind w:firstLine="567"/>
        <w:rPr>
          <w:lang w:val="nl-NL"/>
        </w:rPr>
      </w:pPr>
      <w:r w:rsidRPr="00BC74EF">
        <w:rPr>
          <w:lang w:val="nl-NL"/>
        </w:rPr>
        <w:t>(e)</w:t>
      </w:r>
      <w:r w:rsidRPr="00BC74EF">
        <w:rPr>
          <w:lang w:val="nl-NL"/>
        </w:rPr>
        <w:tab/>
      </w:r>
      <w:r w:rsidR="003C5AB4" w:rsidRPr="00BC74EF">
        <w:rPr>
          <w:lang w:val="nl-NL"/>
        </w:rPr>
        <w:t xml:space="preserve">Personen met een handicap krijgen geen gelijke beloning voor </w:t>
      </w:r>
      <w:r w:rsidR="0068307F" w:rsidRPr="00BC74EF">
        <w:rPr>
          <w:lang w:val="nl-NL"/>
        </w:rPr>
        <w:t>gelijkwaardig</w:t>
      </w:r>
      <w:r w:rsidR="003C5AB4" w:rsidRPr="00BC74EF">
        <w:rPr>
          <w:lang w:val="nl-NL"/>
        </w:rPr>
        <w:t xml:space="preserve"> werk; </w:t>
      </w:r>
    </w:p>
    <w:p w14:paraId="7F872568" w14:textId="5EE718F3" w:rsidR="00F6202B" w:rsidRPr="00BC74EF" w:rsidRDefault="002755DB">
      <w:pPr>
        <w:pStyle w:val="SingleTxtG"/>
        <w:tabs>
          <w:tab w:val="clear" w:pos="1701"/>
          <w:tab w:val="clear" w:pos="2268"/>
          <w:tab w:val="left" w:pos="1560"/>
        </w:tabs>
        <w:ind w:firstLine="567"/>
        <w:rPr>
          <w:lang w:val="nl-NL"/>
        </w:rPr>
      </w:pPr>
      <w:r w:rsidRPr="00BC74EF">
        <w:rPr>
          <w:lang w:val="nl-NL"/>
        </w:rPr>
        <w:t>(f)</w:t>
      </w:r>
      <w:r w:rsidRPr="00BC74EF">
        <w:rPr>
          <w:lang w:val="nl-NL"/>
        </w:rPr>
        <w:tab/>
      </w:r>
      <w:r w:rsidR="003C5AB4" w:rsidRPr="00BC74EF">
        <w:rPr>
          <w:lang w:val="nl-NL"/>
        </w:rPr>
        <w:t>Personen met een handicap worden voor hun werk niet op gelijke voet met anderen be</w:t>
      </w:r>
      <w:r w:rsidR="00887969">
        <w:rPr>
          <w:lang w:val="nl-NL"/>
        </w:rPr>
        <w:t>taald</w:t>
      </w:r>
      <w:r w:rsidR="0068307F" w:rsidRPr="00BC74EF">
        <w:rPr>
          <w:lang w:val="nl-NL"/>
        </w:rPr>
        <w:t>;</w:t>
      </w:r>
    </w:p>
    <w:p w14:paraId="7EB30D6D" w14:textId="77777777" w:rsidR="00F6202B" w:rsidRPr="00BC74EF" w:rsidRDefault="002755DB">
      <w:pPr>
        <w:pStyle w:val="SingleTxtG"/>
        <w:tabs>
          <w:tab w:val="clear" w:pos="1701"/>
          <w:tab w:val="clear" w:pos="2268"/>
          <w:tab w:val="left" w:pos="1560"/>
        </w:tabs>
        <w:ind w:firstLine="567"/>
        <w:rPr>
          <w:lang w:val="nl-NL"/>
        </w:rPr>
      </w:pPr>
      <w:r w:rsidRPr="00BC74EF">
        <w:rPr>
          <w:lang w:val="nl-NL"/>
        </w:rPr>
        <w:t>(g)</w:t>
      </w:r>
      <w:r w:rsidRPr="00BC74EF">
        <w:rPr>
          <w:lang w:val="nl-NL"/>
        </w:rPr>
        <w:tab/>
      </w:r>
      <w:r w:rsidR="003C5AB4" w:rsidRPr="00BC74EF">
        <w:rPr>
          <w:lang w:val="nl-NL"/>
        </w:rPr>
        <w:t xml:space="preserve">Personen met een handicap hebben </w:t>
      </w:r>
      <w:r w:rsidR="00FC7F5F" w:rsidRPr="00BC74EF">
        <w:rPr>
          <w:lang w:val="nl-NL"/>
        </w:rPr>
        <w:t xml:space="preserve">gewoonlijk geen </w:t>
      </w:r>
      <w:r w:rsidR="003C5AB4" w:rsidRPr="00BC74EF">
        <w:rPr>
          <w:lang w:val="nl-NL"/>
        </w:rPr>
        <w:t xml:space="preserve">reguliere arbeidsovereenkomst en </w:t>
      </w:r>
      <w:r w:rsidR="002218A4" w:rsidRPr="00BC74EF">
        <w:rPr>
          <w:lang w:val="nl-NL"/>
        </w:rPr>
        <w:t xml:space="preserve">vallen </w:t>
      </w:r>
      <w:r w:rsidR="003C5AB4" w:rsidRPr="00BC74EF">
        <w:rPr>
          <w:lang w:val="nl-NL"/>
        </w:rPr>
        <w:t xml:space="preserve">derhalve </w:t>
      </w:r>
      <w:r w:rsidR="00FC7F5F" w:rsidRPr="00BC74EF">
        <w:rPr>
          <w:lang w:val="nl-NL"/>
        </w:rPr>
        <w:t xml:space="preserve">niet onder de </w:t>
      </w:r>
      <w:r w:rsidR="003C5AB4" w:rsidRPr="00BC74EF">
        <w:rPr>
          <w:lang w:val="nl-NL"/>
        </w:rPr>
        <w:t>socialezekerheidsregelingen.</w:t>
      </w:r>
    </w:p>
    <w:p w14:paraId="3616F82C" w14:textId="41E506EC" w:rsidR="00F6202B" w:rsidRPr="00BC74EF" w:rsidRDefault="006D79AC">
      <w:pPr>
        <w:pStyle w:val="SingleTxtG"/>
        <w:tabs>
          <w:tab w:val="clear" w:pos="2268"/>
        </w:tabs>
        <w:rPr>
          <w:lang w:val="nl-NL"/>
        </w:rPr>
      </w:pPr>
      <w:r w:rsidRPr="00BC74EF">
        <w:rPr>
          <w:lang w:val="nl-NL"/>
        </w:rPr>
        <w:t>15.</w:t>
      </w:r>
      <w:r w:rsidRPr="00BC74EF">
        <w:rPr>
          <w:lang w:val="nl-NL"/>
        </w:rPr>
        <w:tab/>
      </w:r>
      <w:r w:rsidR="00A86F65" w:rsidRPr="00BC74EF">
        <w:rPr>
          <w:lang w:val="nl-NL"/>
        </w:rPr>
        <w:t xml:space="preserve">Gesegregeerde arbeid, zoals </w:t>
      </w:r>
      <w:r w:rsidR="00805A16">
        <w:rPr>
          <w:lang w:val="nl-NL"/>
        </w:rPr>
        <w:t>tewerkstelling in beschutte</w:t>
      </w:r>
      <w:r w:rsidR="003C5AB4" w:rsidRPr="00BC74EF">
        <w:rPr>
          <w:lang w:val="nl-NL"/>
        </w:rPr>
        <w:t xml:space="preserve"> werkplaatsen</w:t>
      </w:r>
      <w:r w:rsidR="00A86F65" w:rsidRPr="00BC74EF">
        <w:rPr>
          <w:lang w:val="nl-NL"/>
        </w:rPr>
        <w:t xml:space="preserve">, </w:t>
      </w:r>
      <w:r w:rsidR="003C5AB4" w:rsidRPr="00BC74EF">
        <w:rPr>
          <w:lang w:val="nl-NL"/>
        </w:rPr>
        <w:t>voor</w:t>
      </w:r>
      <w:r w:rsidR="00FF34DA">
        <w:rPr>
          <w:lang w:val="nl-NL"/>
        </w:rPr>
        <w:t xml:space="preserve"> personen met een handicap </w:t>
      </w:r>
      <w:r w:rsidR="004F584F" w:rsidRPr="00BC74EF">
        <w:rPr>
          <w:lang w:val="nl-NL"/>
        </w:rPr>
        <w:t xml:space="preserve">mag </w:t>
      </w:r>
      <w:r w:rsidR="003C5AB4" w:rsidRPr="00BC74EF">
        <w:rPr>
          <w:lang w:val="nl-NL"/>
        </w:rPr>
        <w:t xml:space="preserve">niet worden beschouwd als een maatregel </w:t>
      </w:r>
      <w:r w:rsidR="00805A16">
        <w:rPr>
          <w:lang w:val="nl-NL"/>
        </w:rPr>
        <w:t>om het recht op arbeid geleidelijk te waarborgen. Daarvoor is immers</w:t>
      </w:r>
      <w:r w:rsidR="002218A4" w:rsidRPr="00BC74EF">
        <w:rPr>
          <w:lang w:val="nl-NL"/>
        </w:rPr>
        <w:t xml:space="preserve"> </w:t>
      </w:r>
      <w:r w:rsidR="00257C40" w:rsidRPr="00BC74EF">
        <w:rPr>
          <w:lang w:val="nl-NL"/>
        </w:rPr>
        <w:t xml:space="preserve">vrij gekozen </w:t>
      </w:r>
      <w:r w:rsidR="00B32D14" w:rsidRPr="00BC74EF">
        <w:rPr>
          <w:lang w:val="nl-NL"/>
        </w:rPr>
        <w:t xml:space="preserve">of aanvaarde </w:t>
      </w:r>
      <w:r w:rsidR="003C5AB4" w:rsidRPr="00BC74EF">
        <w:rPr>
          <w:lang w:val="nl-NL"/>
        </w:rPr>
        <w:t>arbeid op een open en op integratie gerichte arbeidsmarkt</w:t>
      </w:r>
      <w:r w:rsidR="00805A16">
        <w:rPr>
          <w:lang w:val="nl-NL"/>
        </w:rPr>
        <w:t xml:space="preserve"> noodzakelijk</w:t>
      </w:r>
      <w:r w:rsidR="003C5AB4" w:rsidRPr="00BC74EF">
        <w:rPr>
          <w:lang w:val="nl-NL"/>
        </w:rPr>
        <w:t xml:space="preserve">. </w:t>
      </w:r>
      <w:r w:rsidR="009F38A5" w:rsidRPr="00BC74EF">
        <w:rPr>
          <w:lang w:val="nl-NL"/>
        </w:rPr>
        <w:t>Bedrijven</w:t>
      </w:r>
      <w:r w:rsidR="00564DEC" w:rsidRPr="00BC74EF">
        <w:rPr>
          <w:lang w:val="nl-NL"/>
        </w:rPr>
        <w:t xml:space="preserve"> die worden beheerd en geleid door personen met </w:t>
      </w:r>
      <w:r w:rsidR="009C6F70" w:rsidRPr="00BC74EF">
        <w:rPr>
          <w:lang w:val="nl-NL"/>
        </w:rPr>
        <w:t>een handicap</w:t>
      </w:r>
      <w:r w:rsidR="002C3D94" w:rsidRPr="00BC74EF">
        <w:rPr>
          <w:lang w:val="nl-NL"/>
        </w:rPr>
        <w:t xml:space="preserve">, met inbegrip van bedrijven </w:t>
      </w:r>
      <w:r w:rsidR="00564DEC" w:rsidRPr="00BC74EF">
        <w:rPr>
          <w:lang w:val="nl-NL"/>
        </w:rPr>
        <w:t xml:space="preserve">in gemeenschappelijk bezit en onder democratische controle, </w:t>
      </w:r>
      <w:r w:rsidR="00805A16">
        <w:rPr>
          <w:lang w:val="nl-NL"/>
        </w:rPr>
        <w:t>kunnen</w:t>
      </w:r>
      <w:r w:rsidR="00564DEC" w:rsidRPr="00BC74EF">
        <w:rPr>
          <w:lang w:val="nl-NL"/>
        </w:rPr>
        <w:t xml:space="preserve"> </w:t>
      </w:r>
      <w:r w:rsidR="002C3D94" w:rsidRPr="00BC74EF">
        <w:rPr>
          <w:lang w:val="nl-NL"/>
        </w:rPr>
        <w:t xml:space="preserve">niet als </w:t>
      </w:r>
      <w:r w:rsidR="00805A16">
        <w:rPr>
          <w:lang w:val="nl-NL"/>
        </w:rPr>
        <w:t xml:space="preserve">voorbeelden van </w:t>
      </w:r>
      <w:r w:rsidR="002C3D94" w:rsidRPr="00BC74EF">
        <w:rPr>
          <w:lang w:val="nl-NL"/>
        </w:rPr>
        <w:t xml:space="preserve">gesegregeerde arbeid worden beschouwd indien zij </w:t>
      </w:r>
      <w:r w:rsidR="00564DEC" w:rsidRPr="00BC74EF">
        <w:rPr>
          <w:lang w:val="nl-NL"/>
        </w:rPr>
        <w:t xml:space="preserve">billijke en gunstige arbeidsvoorwaarden bieden </w:t>
      </w:r>
      <w:r w:rsidR="009C6F70" w:rsidRPr="00BC74EF">
        <w:rPr>
          <w:lang w:val="nl-NL"/>
        </w:rPr>
        <w:t>op voet van gelijkheid met anderen</w:t>
      </w:r>
      <w:r w:rsidR="009C6F70" w:rsidRPr="00BC74EF" w:rsidDel="00564DEC">
        <w:rPr>
          <w:lang w:val="nl-NL"/>
        </w:rPr>
        <w:t xml:space="preserve">. </w:t>
      </w:r>
    </w:p>
    <w:p w14:paraId="2A3B8747" w14:textId="77777777" w:rsidR="00F6202B" w:rsidRPr="00BC74EF" w:rsidRDefault="002755DB">
      <w:pPr>
        <w:pStyle w:val="H1G"/>
        <w:rPr>
          <w:lang w:val="nl-NL"/>
        </w:rPr>
      </w:pPr>
      <w:r w:rsidRPr="00BC74EF">
        <w:rPr>
          <w:lang w:val="nl-NL"/>
        </w:rPr>
        <w:tab/>
      </w:r>
      <w:r w:rsidR="00E65790" w:rsidRPr="00BC74EF">
        <w:rPr>
          <w:lang w:val="nl-NL"/>
        </w:rPr>
        <w:t>B.</w:t>
      </w:r>
      <w:r w:rsidRPr="00BC74EF">
        <w:rPr>
          <w:lang w:val="nl-NL"/>
        </w:rPr>
        <w:tab/>
      </w:r>
      <w:r w:rsidR="003C5AB4" w:rsidRPr="00BC74EF">
        <w:rPr>
          <w:lang w:val="nl-NL"/>
        </w:rPr>
        <w:t xml:space="preserve">Verbod op discriminatie op grond van handicap </w:t>
      </w:r>
      <w:r w:rsidR="00E65790" w:rsidRPr="00BC74EF">
        <w:rPr>
          <w:lang w:val="nl-NL"/>
        </w:rPr>
        <w:t>(artikel 27, lid 1, onder a))</w:t>
      </w:r>
    </w:p>
    <w:p w14:paraId="48C179B9" w14:textId="5AE8F48B" w:rsidR="00F6202B" w:rsidRPr="00BC74EF" w:rsidRDefault="006D79AC">
      <w:pPr>
        <w:pStyle w:val="SingleTxtG"/>
        <w:rPr>
          <w:lang w:val="nl-NL"/>
        </w:rPr>
      </w:pPr>
      <w:r w:rsidRPr="00BC74EF">
        <w:rPr>
          <w:lang w:val="nl-NL"/>
        </w:rPr>
        <w:t>16.</w:t>
      </w:r>
      <w:r w:rsidRPr="00BC74EF">
        <w:rPr>
          <w:lang w:val="nl-NL"/>
        </w:rPr>
        <w:tab/>
      </w:r>
      <w:r w:rsidR="003C5AB4" w:rsidRPr="00BC74EF">
        <w:rPr>
          <w:lang w:val="nl-NL"/>
        </w:rPr>
        <w:t xml:space="preserve">Non-discriminatie en gelijkheid </w:t>
      </w:r>
      <w:r w:rsidR="00C85064" w:rsidRPr="00BC74EF">
        <w:rPr>
          <w:lang w:val="nl-NL"/>
        </w:rPr>
        <w:t xml:space="preserve">zijn kernverplichtingen </w:t>
      </w:r>
      <w:r w:rsidR="00805A16">
        <w:rPr>
          <w:lang w:val="nl-NL"/>
        </w:rPr>
        <w:t xml:space="preserve">krachtens </w:t>
      </w:r>
      <w:r w:rsidR="003C5AB4" w:rsidRPr="00BC74EF">
        <w:rPr>
          <w:lang w:val="nl-NL"/>
        </w:rPr>
        <w:t>artikel 27, strekken zich uit tot het optreden van derden, zoals het bedrijfsleven</w:t>
      </w:r>
      <w:r w:rsidR="00605726" w:rsidRPr="00BC74EF">
        <w:rPr>
          <w:lang w:val="nl-NL"/>
        </w:rPr>
        <w:t>,</w:t>
      </w:r>
      <w:r w:rsidR="003C5AB4" w:rsidRPr="00BC74EF">
        <w:rPr>
          <w:rStyle w:val="Voetnootmarkering"/>
          <w:lang w:val="nl-NL"/>
        </w:rPr>
        <w:footnoteReference w:id="12"/>
      </w:r>
      <w:r w:rsidR="003C5AB4" w:rsidRPr="00BC74EF">
        <w:rPr>
          <w:lang w:val="nl-NL"/>
        </w:rPr>
        <w:t xml:space="preserve"> en </w:t>
      </w:r>
      <w:r w:rsidR="00C85064" w:rsidRPr="00BC74EF">
        <w:rPr>
          <w:lang w:val="nl-NL"/>
        </w:rPr>
        <w:t xml:space="preserve">gelden voor </w:t>
      </w:r>
      <w:r w:rsidR="003C5AB4" w:rsidRPr="00BC74EF">
        <w:rPr>
          <w:lang w:val="nl-NL"/>
        </w:rPr>
        <w:t>de gehele arbeidscyclus</w:t>
      </w:r>
      <w:r w:rsidR="00257C40" w:rsidRPr="00BC74EF">
        <w:rPr>
          <w:lang w:val="nl-NL"/>
        </w:rPr>
        <w:t xml:space="preserve">, die aanwerving, indienstneming en tewerkstelling, voortzetting van het </w:t>
      </w:r>
      <w:r w:rsidR="00257C40" w:rsidRPr="00BC74EF">
        <w:rPr>
          <w:lang w:val="nl-NL"/>
        </w:rPr>
        <w:lastRenderedPageBreak/>
        <w:t>dienstverband, opleidingsprogramma's en loopbaanontwikkeling omvat, alsook het zoeken naar en solliciteren naar werk en het verlaten van het werk</w:t>
      </w:r>
      <w:r w:rsidR="003C5AB4" w:rsidRPr="00BC74EF">
        <w:rPr>
          <w:lang w:val="nl-NL"/>
        </w:rPr>
        <w:t xml:space="preserve">. Het Comité </w:t>
      </w:r>
      <w:r w:rsidR="00805A16">
        <w:rPr>
          <w:lang w:val="nl-NL"/>
        </w:rPr>
        <w:t>herinnert</w:t>
      </w:r>
      <w:r w:rsidR="003C5AB4" w:rsidRPr="00BC74EF">
        <w:rPr>
          <w:lang w:val="nl-NL"/>
        </w:rPr>
        <w:t xml:space="preserve"> </w:t>
      </w:r>
      <w:r w:rsidR="00805A16">
        <w:rPr>
          <w:lang w:val="nl-NL"/>
        </w:rPr>
        <w:t xml:space="preserve">er </w:t>
      </w:r>
      <w:r w:rsidR="00A57CE6" w:rsidRPr="00BC74EF">
        <w:rPr>
          <w:lang w:val="nl-NL"/>
        </w:rPr>
        <w:t xml:space="preserve">in </w:t>
      </w:r>
      <w:r w:rsidR="003C5AB4" w:rsidRPr="00BC74EF">
        <w:rPr>
          <w:lang w:val="nl-NL"/>
        </w:rPr>
        <w:t xml:space="preserve">zijn jurisprudentie </w:t>
      </w:r>
      <w:r w:rsidR="00805A16">
        <w:rPr>
          <w:lang w:val="nl-NL"/>
        </w:rPr>
        <w:t>aan</w:t>
      </w:r>
      <w:r w:rsidR="00A57CE6" w:rsidRPr="00BC74EF">
        <w:rPr>
          <w:lang w:val="nl-NL"/>
        </w:rPr>
        <w:t xml:space="preserve"> </w:t>
      </w:r>
      <w:r w:rsidR="00805A16">
        <w:rPr>
          <w:lang w:val="nl-NL"/>
        </w:rPr>
        <w:t xml:space="preserve">de Staten die Partij zijn </w:t>
      </w:r>
      <w:r w:rsidR="003C5AB4" w:rsidRPr="00BC74EF">
        <w:rPr>
          <w:lang w:val="nl-NL"/>
        </w:rPr>
        <w:t>ervoor moeten zorgen dat er geen discriminatie op grond van handicap plaatsvindt in verband met werk en werkgelegenheid</w:t>
      </w:r>
      <w:r w:rsidR="00805A16">
        <w:rPr>
          <w:lang w:val="nl-NL"/>
        </w:rPr>
        <w:t>, willen ze</w:t>
      </w:r>
      <w:r w:rsidR="00805A16" w:rsidRPr="00BC74EF">
        <w:rPr>
          <w:lang w:val="nl-NL"/>
        </w:rPr>
        <w:t xml:space="preserve"> de facto gelijkheid in de zin van het verdrag </w:t>
      </w:r>
      <w:r w:rsidR="00805A16">
        <w:rPr>
          <w:lang w:val="nl-NL"/>
        </w:rPr>
        <w:t>bereiken</w:t>
      </w:r>
      <w:r w:rsidR="003C5AB4" w:rsidRPr="00BC74EF">
        <w:rPr>
          <w:lang w:val="nl-NL"/>
        </w:rPr>
        <w:t>.</w:t>
      </w:r>
      <w:r w:rsidR="003C5AB4" w:rsidRPr="00BC74EF">
        <w:rPr>
          <w:rStyle w:val="Voetnootmarkering"/>
          <w:lang w:val="nl-NL"/>
        </w:rPr>
        <w:footnoteReference w:id="13"/>
      </w:r>
      <w:r w:rsidR="003C5AB4" w:rsidRPr="00BC74EF">
        <w:rPr>
          <w:lang w:val="nl-NL"/>
        </w:rPr>
        <w:t xml:space="preserve"> De internationale mensenrechtenpraktijk onderscheidt vier belangrijke vormen van discriminatie, die zich afzonderlijk of tegelijkertijd kunnen voordoen: directe </w:t>
      </w:r>
      <w:r w:rsidR="00A57CE6" w:rsidRPr="00BC74EF">
        <w:rPr>
          <w:lang w:val="nl-NL"/>
        </w:rPr>
        <w:t>discriminatie</w:t>
      </w:r>
      <w:r w:rsidR="003C5AB4" w:rsidRPr="00BC74EF">
        <w:rPr>
          <w:lang w:val="nl-NL"/>
        </w:rPr>
        <w:t xml:space="preserve">, indirecte </w:t>
      </w:r>
      <w:r w:rsidR="00A57CE6" w:rsidRPr="00BC74EF">
        <w:rPr>
          <w:lang w:val="nl-NL"/>
        </w:rPr>
        <w:t>discriminatie</w:t>
      </w:r>
      <w:r w:rsidR="003C5AB4" w:rsidRPr="00BC74EF">
        <w:rPr>
          <w:lang w:val="nl-NL"/>
        </w:rPr>
        <w:t>, ontzegging van redelijke aanpassingen</w:t>
      </w:r>
      <w:r w:rsidR="00EF2AE3" w:rsidRPr="00BC74EF">
        <w:rPr>
          <w:lang w:val="nl-NL"/>
        </w:rPr>
        <w:t xml:space="preserve">, </w:t>
      </w:r>
      <w:r w:rsidR="003C5AB4" w:rsidRPr="00BC74EF">
        <w:rPr>
          <w:lang w:val="nl-NL"/>
        </w:rPr>
        <w:t xml:space="preserve">intimidatie </w:t>
      </w:r>
      <w:r w:rsidR="00EF2AE3" w:rsidRPr="00BC74EF">
        <w:rPr>
          <w:lang w:val="nl-NL"/>
        </w:rPr>
        <w:t>en associatieve discriminatie</w:t>
      </w:r>
      <w:r w:rsidR="003C5AB4" w:rsidRPr="00BC74EF">
        <w:rPr>
          <w:lang w:val="nl-NL"/>
        </w:rPr>
        <w:t xml:space="preserve">. </w:t>
      </w:r>
    </w:p>
    <w:p w14:paraId="41677A42" w14:textId="35FA5A0E" w:rsidR="00F6202B" w:rsidRPr="00BC74EF" w:rsidRDefault="002755DB">
      <w:pPr>
        <w:pStyle w:val="SingleTxtG"/>
        <w:tabs>
          <w:tab w:val="clear" w:pos="2268"/>
        </w:tabs>
        <w:rPr>
          <w:lang w:val="nl-NL"/>
        </w:rPr>
      </w:pPr>
      <w:r w:rsidRPr="00BC74EF">
        <w:rPr>
          <w:lang w:val="nl-NL"/>
        </w:rPr>
        <w:t>17</w:t>
      </w:r>
      <w:r w:rsidR="0006414B" w:rsidRPr="00BC74EF">
        <w:rPr>
          <w:lang w:val="nl-NL"/>
        </w:rPr>
        <w:t>.</w:t>
      </w:r>
      <w:r w:rsidR="0006414B" w:rsidRPr="00BC74EF">
        <w:rPr>
          <w:lang w:val="nl-NL"/>
        </w:rPr>
        <w:tab/>
      </w:r>
      <w:bookmarkStart w:id="13" w:name="_Hlk110253547"/>
      <w:r w:rsidR="003C5AB4" w:rsidRPr="00BC74EF">
        <w:rPr>
          <w:lang w:val="nl-NL"/>
        </w:rPr>
        <w:t xml:space="preserve">Er is sprake van </w:t>
      </w:r>
      <w:r w:rsidR="003C5AB4" w:rsidRPr="00BC74EF">
        <w:rPr>
          <w:bCs/>
          <w:lang w:val="nl-NL"/>
        </w:rPr>
        <w:t xml:space="preserve">directe discriminatie </w:t>
      </w:r>
      <w:r w:rsidR="003C5AB4" w:rsidRPr="00BC74EF">
        <w:rPr>
          <w:lang w:val="nl-NL"/>
        </w:rPr>
        <w:t xml:space="preserve">wanneer personen met een handicap ongunstig worden behandeld om </w:t>
      </w:r>
      <w:r w:rsidR="003D1ECE" w:rsidRPr="00BC74EF">
        <w:rPr>
          <w:lang w:val="nl-NL"/>
        </w:rPr>
        <w:t xml:space="preserve">redenen die verband houden met hun handicap. </w:t>
      </w:r>
      <w:r w:rsidR="00A77195" w:rsidRPr="00BC74EF">
        <w:rPr>
          <w:lang w:val="nl-NL"/>
        </w:rPr>
        <w:t xml:space="preserve">Een </w:t>
      </w:r>
      <w:r w:rsidR="003C5AB4" w:rsidRPr="00BC74EF">
        <w:rPr>
          <w:lang w:val="nl-NL"/>
        </w:rPr>
        <w:t xml:space="preserve">voorbeeld </w:t>
      </w:r>
      <w:r w:rsidR="00BC74EF" w:rsidRPr="00BC74EF">
        <w:rPr>
          <w:lang w:val="nl-NL"/>
        </w:rPr>
        <w:t xml:space="preserve">van directe discriminatie </w:t>
      </w:r>
      <w:r w:rsidR="00A16241" w:rsidRPr="00BC74EF">
        <w:rPr>
          <w:lang w:val="nl-NL"/>
        </w:rPr>
        <w:t xml:space="preserve">is </w:t>
      </w:r>
      <w:r w:rsidR="003C5AB4" w:rsidRPr="00BC74EF">
        <w:rPr>
          <w:lang w:val="nl-NL"/>
        </w:rPr>
        <w:t xml:space="preserve">een werkgever in de overheidssector die een persoon met een </w:t>
      </w:r>
      <w:r w:rsidR="00BC74EF" w:rsidRPr="00BC74EF">
        <w:rPr>
          <w:lang w:val="nl-NL"/>
        </w:rPr>
        <w:t xml:space="preserve">handicap </w:t>
      </w:r>
      <w:r w:rsidR="003C5AB4" w:rsidRPr="00BC74EF">
        <w:rPr>
          <w:lang w:val="nl-NL"/>
        </w:rPr>
        <w:t xml:space="preserve">niet in </w:t>
      </w:r>
      <w:r w:rsidR="00A16241" w:rsidRPr="00BC74EF">
        <w:rPr>
          <w:lang w:val="nl-NL"/>
        </w:rPr>
        <w:t xml:space="preserve">aanmerking neemt </w:t>
      </w:r>
      <w:r w:rsidR="003C5AB4" w:rsidRPr="00BC74EF">
        <w:rPr>
          <w:lang w:val="nl-NL"/>
        </w:rPr>
        <w:t xml:space="preserve">voor een </w:t>
      </w:r>
      <w:r w:rsidR="00BC74EF">
        <w:rPr>
          <w:lang w:val="nl-NL"/>
        </w:rPr>
        <w:t xml:space="preserve">job </w:t>
      </w:r>
      <w:r w:rsidR="00A77195" w:rsidRPr="00BC74EF">
        <w:rPr>
          <w:lang w:val="nl-NL"/>
        </w:rPr>
        <w:t xml:space="preserve">in de veronderstelling </w:t>
      </w:r>
      <w:r w:rsidR="003C5AB4" w:rsidRPr="00BC74EF">
        <w:rPr>
          <w:lang w:val="nl-NL"/>
        </w:rPr>
        <w:t>dat de</w:t>
      </w:r>
      <w:r w:rsidR="00BC74EF" w:rsidRPr="00BC74EF">
        <w:rPr>
          <w:lang w:val="nl-NL"/>
        </w:rPr>
        <w:t>ze</w:t>
      </w:r>
      <w:r w:rsidR="003C5AB4" w:rsidRPr="00BC74EF">
        <w:rPr>
          <w:lang w:val="nl-NL"/>
        </w:rPr>
        <w:t xml:space="preserve"> </w:t>
      </w:r>
      <w:bookmarkEnd w:id="13"/>
      <w:r w:rsidR="00BC74EF" w:rsidRPr="00BC74EF">
        <w:rPr>
          <w:lang w:val="nl-NL"/>
        </w:rPr>
        <w:t>de taken niet zal kunnen uitvoeren</w:t>
      </w:r>
      <w:r w:rsidR="003C5AB4" w:rsidRPr="00BC74EF">
        <w:rPr>
          <w:lang w:val="nl-NL"/>
        </w:rPr>
        <w:t>.</w:t>
      </w:r>
      <w:r w:rsidR="003C5AB4" w:rsidRPr="00BC74EF">
        <w:rPr>
          <w:rStyle w:val="Voetnootmarkering"/>
          <w:lang w:val="nl-NL"/>
        </w:rPr>
        <w:footnoteReference w:id="14"/>
      </w:r>
    </w:p>
    <w:p w14:paraId="39CA1DD4" w14:textId="30997FB2" w:rsidR="00F6202B" w:rsidRPr="00BC74EF" w:rsidRDefault="002755DB">
      <w:pPr>
        <w:pStyle w:val="SingleTxtG"/>
        <w:tabs>
          <w:tab w:val="clear" w:pos="2268"/>
        </w:tabs>
        <w:rPr>
          <w:lang w:val="nl-NL"/>
        </w:rPr>
      </w:pPr>
      <w:r w:rsidRPr="00BC74EF">
        <w:rPr>
          <w:lang w:val="nl-NL"/>
        </w:rPr>
        <w:t>18</w:t>
      </w:r>
      <w:r w:rsidR="0006414B" w:rsidRPr="00BC74EF">
        <w:rPr>
          <w:lang w:val="nl-NL"/>
        </w:rPr>
        <w:t>.</w:t>
      </w:r>
      <w:r w:rsidR="0006414B" w:rsidRPr="00BC74EF">
        <w:rPr>
          <w:lang w:val="nl-NL"/>
        </w:rPr>
        <w:tab/>
      </w:r>
      <w:bookmarkStart w:id="14" w:name="_Hlk110253772"/>
      <w:r w:rsidR="003D1ECE" w:rsidRPr="00BC74EF">
        <w:rPr>
          <w:lang w:val="nl-NL"/>
        </w:rPr>
        <w:t xml:space="preserve"> Indirecte discriminatie </w:t>
      </w:r>
      <w:r w:rsidR="00BC74EF">
        <w:rPr>
          <w:bCs/>
          <w:lang w:val="nl-NL"/>
        </w:rPr>
        <w:t>doet zich voor wanneer</w:t>
      </w:r>
      <w:r w:rsidR="003D1ECE" w:rsidRPr="00BC74EF">
        <w:rPr>
          <w:bCs/>
          <w:lang w:val="nl-NL"/>
        </w:rPr>
        <w:t xml:space="preserve"> de toepassing van wetten, beleidsmaatregelen of praktijken die neutraal lijken, </w:t>
      </w:r>
      <w:r w:rsidR="00BC74EF">
        <w:rPr>
          <w:bCs/>
          <w:lang w:val="nl-NL"/>
        </w:rPr>
        <w:t>negatieve gevolgen heeft voor</w:t>
      </w:r>
      <w:r w:rsidR="003D1ECE" w:rsidRPr="00BC74EF">
        <w:rPr>
          <w:bCs/>
          <w:lang w:val="nl-NL"/>
        </w:rPr>
        <w:t xml:space="preserve"> </w:t>
      </w:r>
      <w:r w:rsidR="00A86C9D" w:rsidRPr="00BC74EF">
        <w:rPr>
          <w:bCs/>
          <w:lang w:val="nl-NL"/>
        </w:rPr>
        <w:t xml:space="preserve">personen </w:t>
      </w:r>
      <w:r w:rsidR="003D1ECE" w:rsidRPr="00BC74EF">
        <w:rPr>
          <w:bCs/>
          <w:lang w:val="nl-NL"/>
        </w:rPr>
        <w:t xml:space="preserve">met een handicap. </w:t>
      </w:r>
      <w:bookmarkStart w:id="15" w:name="m_-3696640329034868488__Hlk95479792"/>
      <w:r w:rsidR="003D1ECE" w:rsidRPr="00BC74EF">
        <w:rPr>
          <w:bCs/>
          <w:lang w:val="nl-NL"/>
        </w:rPr>
        <w:t xml:space="preserve">Hiervan is sprake wanneer personen met een handicap </w:t>
      </w:r>
      <w:r w:rsidR="00BC74EF">
        <w:rPr>
          <w:bCs/>
          <w:lang w:val="nl-NL"/>
        </w:rPr>
        <w:t>van een kans worden uitgesloten omdat het kader geen rekening houdt met hun situatie</w:t>
      </w:r>
      <w:bookmarkEnd w:id="15"/>
      <w:r w:rsidR="003D1ECE" w:rsidRPr="00BC74EF">
        <w:rPr>
          <w:bCs/>
          <w:lang w:val="nl-NL"/>
        </w:rPr>
        <w:t xml:space="preserve">. </w:t>
      </w:r>
      <w:r w:rsidR="00E263F8">
        <w:rPr>
          <w:bCs/>
          <w:lang w:val="nl-NL"/>
        </w:rPr>
        <w:t>Wanneer</w:t>
      </w:r>
      <w:r w:rsidR="003D1ECE" w:rsidRPr="00BC74EF">
        <w:rPr>
          <w:bCs/>
          <w:lang w:val="nl-NL"/>
        </w:rPr>
        <w:t xml:space="preserve"> bijvoorbeeld </w:t>
      </w:r>
      <w:r w:rsidR="00BC74EF">
        <w:rPr>
          <w:bCs/>
          <w:lang w:val="nl-NL"/>
        </w:rPr>
        <w:t>e</w:t>
      </w:r>
      <w:r w:rsidR="003D1ECE" w:rsidRPr="00BC74EF">
        <w:rPr>
          <w:bCs/>
          <w:lang w:val="nl-NL"/>
        </w:rPr>
        <w:t>en openbaar gebouw</w:t>
      </w:r>
      <w:r w:rsidR="00E263F8">
        <w:rPr>
          <w:bCs/>
          <w:lang w:val="nl-NL"/>
        </w:rPr>
        <w:t xml:space="preserve"> waar een sollicitatiegesprek plaatsvindt</w:t>
      </w:r>
      <w:r w:rsidR="003D1ECE" w:rsidRPr="00BC74EF">
        <w:rPr>
          <w:bCs/>
          <w:lang w:val="nl-NL"/>
        </w:rPr>
        <w:t xml:space="preserve"> </w:t>
      </w:r>
      <w:r w:rsidR="00BC74EF">
        <w:rPr>
          <w:bCs/>
          <w:lang w:val="nl-NL"/>
        </w:rPr>
        <w:t xml:space="preserve">enkel toegankelijk is via een trap, worden kandidaten </w:t>
      </w:r>
      <w:r w:rsidR="003D1ECE" w:rsidRPr="00BC74EF">
        <w:rPr>
          <w:bCs/>
          <w:lang w:val="nl-NL"/>
        </w:rPr>
        <w:t xml:space="preserve">die een </w:t>
      </w:r>
      <w:r w:rsidR="008A228F" w:rsidRPr="00BC74EF">
        <w:rPr>
          <w:bCs/>
          <w:lang w:val="nl-NL"/>
        </w:rPr>
        <w:t>rolstoel</w:t>
      </w:r>
      <w:r w:rsidR="003D1ECE" w:rsidRPr="00BC74EF">
        <w:rPr>
          <w:bCs/>
          <w:lang w:val="nl-NL"/>
        </w:rPr>
        <w:t xml:space="preserve"> gebruiken in een ongelijke positie geplaatst omdat ze het gebouw niet kunnen betreden</w:t>
      </w:r>
      <w:r w:rsidR="003C5AB4" w:rsidRPr="00BC74EF">
        <w:rPr>
          <w:lang w:val="nl-NL"/>
        </w:rPr>
        <w:t>.</w:t>
      </w:r>
      <w:r w:rsidR="003C5AB4" w:rsidRPr="00BC74EF">
        <w:rPr>
          <w:rStyle w:val="Voetnootmarkering"/>
          <w:lang w:val="nl-NL"/>
        </w:rPr>
        <w:footnoteReference w:id="15"/>
      </w:r>
      <w:r w:rsidR="003D1ECE" w:rsidRPr="00BC74EF">
        <w:rPr>
          <w:lang w:val="nl-NL"/>
        </w:rPr>
        <w:t xml:space="preserve"> </w:t>
      </w:r>
      <w:r w:rsidR="00E263F8">
        <w:rPr>
          <w:lang w:val="nl-NL"/>
        </w:rPr>
        <w:t>Het</w:t>
      </w:r>
      <w:r w:rsidR="003D1ECE" w:rsidRPr="00BC74EF">
        <w:rPr>
          <w:lang w:val="nl-NL"/>
        </w:rPr>
        <w:t xml:space="preserve"> verbod op indirecte discriminatie </w:t>
      </w:r>
      <w:r w:rsidR="00E263F8">
        <w:rPr>
          <w:lang w:val="nl-NL"/>
        </w:rPr>
        <w:t>impliceert</w:t>
      </w:r>
      <w:r w:rsidR="003D1ECE" w:rsidRPr="00BC74EF">
        <w:rPr>
          <w:lang w:val="nl-NL"/>
        </w:rPr>
        <w:t xml:space="preserve"> </w:t>
      </w:r>
      <w:r w:rsidR="00E263F8">
        <w:rPr>
          <w:lang w:val="nl-NL"/>
        </w:rPr>
        <w:t>de</w:t>
      </w:r>
      <w:r w:rsidR="003D1ECE" w:rsidRPr="00BC74EF">
        <w:rPr>
          <w:lang w:val="nl-NL"/>
        </w:rPr>
        <w:t xml:space="preserve"> voortdurende verplichting om in alle situaties te voorzien in toegankelijkheid door middel van </w:t>
      </w:r>
      <w:r w:rsidR="00E263F8">
        <w:rPr>
          <w:lang w:val="nl-NL"/>
        </w:rPr>
        <w:t>een universeel ontwerp</w:t>
      </w:r>
      <w:r w:rsidR="003D1ECE" w:rsidRPr="00BC74EF">
        <w:rPr>
          <w:lang w:val="nl-NL"/>
        </w:rPr>
        <w:t xml:space="preserve">. </w:t>
      </w:r>
      <w:bookmarkEnd w:id="14"/>
    </w:p>
    <w:p w14:paraId="19E71E6B" w14:textId="76E37AF0" w:rsidR="00F6202B" w:rsidRPr="00BC74EF" w:rsidRDefault="002755DB">
      <w:pPr>
        <w:pStyle w:val="SingleTxtG"/>
        <w:tabs>
          <w:tab w:val="clear" w:pos="2268"/>
        </w:tabs>
        <w:rPr>
          <w:lang w:val="nl-NL"/>
        </w:rPr>
      </w:pPr>
      <w:r w:rsidRPr="00BC74EF">
        <w:rPr>
          <w:lang w:val="nl-NL"/>
        </w:rPr>
        <w:t>19</w:t>
      </w:r>
      <w:r w:rsidR="0006414B" w:rsidRPr="00BC74EF">
        <w:rPr>
          <w:lang w:val="nl-NL"/>
        </w:rPr>
        <w:t>.</w:t>
      </w:r>
      <w:r w:rsidR="0006414B" w:rsidRPr="00BC74EF">
        <w:rPr>
          <w:lang w:val="nl-NL"/>
        </w:rPr>
        <w:tab/>
      </w:r>
      <w:bookmarkStart w:id="16" w:name="_Hlk110254343"/>
      <w:bookmarkStart w:id="17" w:name="_Hlk110255135"/>
      <w:r w:rsidR="001B6957" w:rsidRPr="00BC74EF">
        <w:rPr>
          <w:lang w:val="nl-NL"/>
        </w:rPr>
        <w:t xml:space="preserve">Redelijke aanpassingen </w:t>
      </w:r>
      <w:r w:rsidR="001B6957" w:rsidRPr="00BC74EF">
        <w:rPr>
          <w:bCs/>
          <w:lang w:val="nl-NL"/>
        </w:rPr>
        <w:t xml:space="preserve">worden </w:t>
      </w:r>
      <w:r w:rsidR="001B6957" w:rsidRPr="00BC74EF">
        <w:rPr>
          <w:lang w:val="nl-NL"/>
        </w:rPr>
        <w:t xml:space="preserve">geweigerd </w:t>
      </w:r>
      <w:r w:rsidR="001B6957" w:rsidRPr="00BC74EF">
        <w:rPr>
          <w:bCs/>
          <w:lang w:val="nl-NL"/>
        </w:rPr>
        <w:t xml:space="preserve">wanneer de noodzakelijke en passende geïndividualiseerde wijzigingen, aanpassingen en ondersteuning (die geen onevenredige of </w:t>
      </w:r>
      <w:r w:rsidR="00805A16">
        <w:rPr>
          <w:bCs/>
          <w:lang w:val="nl-NL"/>
        </w:rPr>
        <w:t>buitensporige</w:t>
      </w:r>
      <w:r w:rsidR="001B6957" w:rsidRPr="00BC74EF">
        <w:rPr>
          <w:bCs/>
          <w:lang w:val="nl-NL"/>
        </w:rPr>
        <w:t xml:space="preserve"> belasting vormen) niet worden toegepast. </w:t>
      </w:r>
      <w:r w:rsidR="00805A16">
        <w:rPr>
          <w:bCs/>
          <w:lang w:val="nl-NL"/>
        </w:rPr>
        <w:t>Onder “r</w:t>
      </w:r>
      <w:r w:rsidR="001B6957" w:rsidRPr="00BC74EF">
        <w:rPr>
          <w:bCs/>
          <w:lang w:val="nl-NL"/>
        </w:rPr>
        <w:t>edelijke aanpassingen</w:t>
      </w:r>
      <w:r w:rsidR="00805A16">
        <w:rPr>
          <w:bCs/>
          <w:lang w:val="nl-NL"/>
        </w:rPr>
        <w:t>” wordt verstaan</w:t>
      </w:r>
      <w:r w:rsidR="001B6957" w:rsidRPr="00BC74EF">
        <w:rPr>
          <w:bCs/>
          <w:lang w:val="nl-NL"/>
        </w:rPr>
        <w:t xml:space="preserve"> de wijzigingen, aanpassingen en </w:t>
      </w:r>
      <w:r w:rsidR="00E263F8">
        <w:rPr>
          <w:bCs/>
          <w:lang w:val="nl-NL"/>
        </w:rPr>
        <w:t>begeleidende maatregelen</w:t>
      </w:r>
      <w:r w:rsidR="001B6957" w:rsidRPr="00BC74EF">
        <w:rPr>
          <w:bCs/>
          <w:lang w:val="nl-NL"/>
        </w:rPr>
        <w:t xml:space="preserve"> die nodig zijn om het gelijke genot of de gelijke uitoefening van een mensenrecht of fundamentele vrijheid te waarborgen</w:t>
      </w:r>
      <w:r w:rsidR="003C5AB4" w:rsidRPr="00BC74EF">
        <w:rPr>
          <w:lang w:val="nl-NL"/>
        </w:rPr>
        <w:t>.</w:t>
      </w:r>
      <w:r w:rsidR="003C5AB4" w:rsidRPr="00BC74EF">
        <w:rPr>
          <w:rStyle w:val="Voetnootmarkering"/>
          <w:lang w:val="nl-NL"/>
        </w:rPr>
        <w:footnoteReference w:id="16"/>
      </w:r>
      <w:r w:rsidR="001B6957" w:rsidRPr="00BC74EF">
        <w:rPr>
          <w:lang w:val="nl-NL"/>
        </w:rPr>
        <w:t xml:space="preserve">  Een werknemer in de publieke sector met een visuele handicap die niet de geschikte apparatuur krijgt om de hem toegewezen taken uit te voeren, zoals een computerprogramma dat tekst op een computerscherm vergroot, </w:t>
      </w:r>
      <w:r w:rsidR="00E263F8">
        <w:rPr>
          <w:lang w:val="nl-NL"/>
        </w:rPr>
        <w:t>wordt</w:t>
      </w:r>
      <w:r w:rsidR="001B6957" w:rsidRPr="00BC74EF">
        <w:rPr>
          <w:lang w:val="nl-NL"/>
        </w:rPr>
        <w:t xml:space="preserve"> bijvoorbeeld geen redelijke </w:t>
      </w:r>
      <w:r w:rsidR="00805A16">
        <w:rPr>
          <w:lang w:val="nl-NL"/>
        </w:rPr>
        <w:t>aanpassing</w:t>
      </w:r>
      <w:r w:rsidR="001B6957" w:rsidRPr="00BC74EF">
        <w:rPr>
          <w:lang w:val="nl-NL"/>
        </w:rPr>
        <w:t xml:space="preserve"> toegekend. Andere redelijke aanpassingen zijn </w:t>
      </w:r>
      <w:r w:rsidR="00805A16">
        <w:rPr>
          <w:lang w:val="nl-NL"/>
        </w:rPr>
        <w:t xml:space="preserve">bijvoorbeeld </w:t>
      </w:r>
      <w:r w:rsidR="00E263F8">
        <w:rPr>
          <w:lang w:val="nl-NL"/>
        </w:rPr>
        <w:t xml:space="preserve">het toegankelijk maken van </w:t>
      </w:r>
      <w:r w:rsidR="001B6957" w:rsidRPr="00BC74EF">
        <w:rPr>
          <w:lang w:val="nl-NL"/>
        </w:rPr>
        <w:t xml:space="preserve">informatie voor de persoon met een handicap, </w:t>
      </w:r>
      <w:r w:rsidR="00E263F8">
        <w:rPr>
          <w:lang w:val="nl-NL"/>
        </w:rPr>
        <w:t xml:space="preserve">de aanpassing van </w:t>
      </w:r>
      <w:r w:rsidR="001B6957" w:rsidRPr="00BC74EF">
        <w:rPr>
          <w:lang w:val="nl-NL"/>
        </w:rPr>
        <w:t xml:space="preserve">apparatuur, thuiswerken mogelijk maken, zorgen voor een tolk tijdens vergaderingen, activiteiten reorganiseren, het werk </w:t>
      </w:r>
      <w:r w:rsidR="00E263F8">
        <w:rPr>
          <w:lang w:val="nl-NL"/>
        </w:rPr>
        <w:t>anders inplannen</w:t>
      </w:r>
      <w:r w:rsidR="001B6957" w:rsidRPr="00BC74EF">
        <w:rPr>
          <w:lang w:val="nl-NL"/>
        </w:rPr>
        <w:t xml:space="preserve"> of ondersteunend personeel ter beschikking stellen</w:t>
      </w:r>
      <w:r w:rsidR="003C5AB4" w:rsidRPr="00BC74EF">
        <w:rPr>
          <w:lang w:val="nl-NL"/>
        </w:rPr>
        <w:t>.</w:t>
      </w:r>
      <w:r w:rsidR="003C5AB4" w:rsidRPr="00BC74EF">
        <w:rPr>
          <w:rStyle w:val="Voetnootmarkering"/>
          <w:lang w:val="nl-NL"/>
        </w:rPr>
        <w:footnoteReference w:id="17"/>
      </w:r>
      <w:r w:rsidR="001B6957" w:rsidRPr="00BC74EF">
        <w:rPr>
          <w:lang w:val="nl-NL"/>
        </w:rPr>
        <w:t xml:space="preserve"> </w:t>
      </w:r>
      <w:r w:rsidR="00E263F8">
        <w:rPr>
          <w:lang w:val="nl-NL"/>
        </w:rPr>
        <w:t xml:space="preserve">Enkel aanpassingen </w:t>
      </w:r>
      <w:r w:rsidR="00E263F8" w:rsidRPr="00E263F8">
        <w:rPr>
          <w:lang w:val="nl-NL"/>
        </w:rPr>
        <w:t>waarover met de betrokkene is onderhandeld, kunnen als redelijke aanpassingen worden beschouwd</w:t>
      </w:r>
      <w:r w:rsidR="00E263F8">
        <w:rPr>
          <w:lang w:val="nl-NL"/>
        </w:rPr>
        <w:t>.</w:t>
      </w:r>
      <w:r w:rsidR="001B6957" w:rsidRPr="00BC74EF">
        <w:rPr>
          <w:lang w:val="nl-NL"/>
        </w:rPr>
        <w:t xml:space="preserve"> De plicht om in redelijke aanpassingen te voorzien geldt vanaf het moment dat een verzoek om dergelijke aanpassingen wordt ontvangen of de noodzaak ervan duidelijk wordt</w:t>
      </w:r>
      <w:r w:rsidR="003C5AB4" w:rsidRPr="00BC74EF">
        <w:rPr>
          <w:lang w:val="nl-NL"/>
        </w:rPr>
        <w:t>.</w:t>
      </w:r>
      <w:r w:rsidR="003C5AB4" w:rsidRPr="00BC74EF">
        <w:rPr>
          <w:rStyle w:val="Voetnootmarkering"/>
          <w:lang w:val="nl-NL"/>
        </w:rPr>
        <w:footnoteReference w:id="18"/>
      </w:r>
      <w:r w:rsidR="00550116" w:rsidRPr="00BC74EF">
        <w:rPr>
          <w:lang w:val="nl-NL"/>
        </w:rPr>
        <w:t xml:space="preserve"> Het Comité benadrukt dat de </w:t>
      </w:r>
      <w:r w:rsidR="009A294B">
        <w:rPr>
          <w:lang w:val="nl-NL"/>
        </w:rPr>
        <w:t>ver</w:t>
      </w:r>
      <w:r w:rsidR="00550116" w:rsidRPr="00BC74EF">
        <w:rPr>
          <w:lang w:val="nl-NL"/>
        </w:rPr>
        <w:t>plicht</w:t>
      </w:r>
      <w:r w:rsidR="009A294B">
        <w:rPr>
          <w:lang w:val="nl-NL"/>
        </w:rPr>
        <w:t>ing om te voorzien in</w:t>
      </w:r>
      <w:r w:rsidR="00550116" w:rsidRPr="00BC74EF">
        <w:rPr>
          <w:lang w:val="nl-NL"/>
        </w:rPr>
        <w:t xml:space="preserve"> redelijke aanpassingen verschilt van de </w:t>
      </w:r>
      <w:r w:rsidR="009A294B">
        <w:rPr>
          <w:lang w:val="nl-NL"/>
        </w:rPr>
        <w:t>verplichting om te zorgen voor</w:t>
      </w:r>
      <w:r w:rsidR="00550116" w:rsidRPr="00BC74EF">
        <w:rPr>
          <w:lang w:val="nl-NL"/>
        </w:rPr>
        <w:t xml:space="preserve"> toegankelijkheid, die voortvloeit uit het verbod op indirecte discriminatie en is vastgelegd in </w:t>
      </w:r>
      <w:r w:rsidR="00EE3606" w:rsidRPr="00BC74EF">
        <w:rPr>
          <w:lang w:val="nl-NL"/>
        </w:rPr>
        <w:t>de artikelen 4 en 9</w:t>
      </w:r>
      <w:r w:rsidR="004C33F4">
        <w:rPr>
          <w:lang w:val="nl-NL"/>
        </w:rPr>
        <w:t xml:space="preserve"> van het Verdrag</w:t>
      </w:r>
      <w:r w:rsidR="00550116" w:rsidRPr="00BC74EF">
        <w:rPr>
          <w:lang w:val="nl-NL"/>
        </w:rPr>
        <w:t xml:space="preserve">. Hoewel beide bedoeld zijn om toegankelijkheid te waarborgen, is de </w:t>
      </w:r>
      <w:r w:rsidR="009A294B">
        <w:rPr>
          <w:lang w:val="nl-NL"/>
        </w:rPr>
        <w:t>verplichting</w:t>
      </w:r>
      <w:r w:rsidR="00550116" w:rsidRPr="00BC74EF">
        <w:rPr>
          <w:lang w:val="nl-NL"/>
        </w:rPr>
        <w:t xml:space="preserve"> om toegankelijkheid te bieden door middel van universeel ontwerp of ondersteunende technologieën </w:t>
      </w:r>
      <w:r w:rsidR="00A86C9D" w:rsidRPr="00BC74EF">
        <w:rPr>
          <w:lang w:val="nl-NL"/>
        </w:rPr>
        <w:t xml:space="preserve">een </w:t>
      </w:r>
      <w:r w:rsidR="009A294B">
        <w:rPr>
          <w:lang w:val="nl-NL"/>
        </w:rPr>
        <w:t>ver</w:t>
      </w:r>
      <w:r w:rsidR="00550116" w:rsidRPr="00BC74EF">
        <w:rPr>
          <w:lang w:val="nl-NL"/>
        </w:rPr>
        <w:t>plicht</w:t>
      </w:r>
      <w:r w:rsidR="009A294B">
        <w:rPr>
          <w:lang w:val="nl-NL"/>
        </w:rPr>
        <w:t>ing</w:t>
      </w:r>
      <w:r w:rsidR="00550116" w:rsidRPr="00BC74EF">
        <w:rPr>
          <w:lang w:val="nl-NL"/>
        </w:rPr>
        <w:t xml:space="preserve"> die in systemen en processen is ingebouwd</w:t>
      </w:r>
      <w:r w:rsidR="009A294B">
        <w:rPr>
          <w:lang w:val="nl-NL"/>
        </w:rPr>
        <w:t xml:space="preserve"> ongeacht individuele situaties, zoals die van een persoon met een handicap die op voet van gelijkheid met anderen toegang tot een gebouw nodig heeft.</w:t>
      </w:r>
      <w:r w:rsidR="00DA3473" w:rsidRPr="00BC74EF">
        <w:rPr>
          <w:rStyle w:val="Voetnootmarkering"/>
          <w:lang w:val="nl-NL"/>
        </w:rPr>
        <w:footnoteReference w:id="19"/>
      </w:r>
      <w:r w:rsidR="00550116" w:rsidRPr="00BC74EF">
        <w:rPr>
          <w:lang w:val="nl-NL"/>
        </w:rPr>
        <w:t xml:space="preserve"> De </w:t>
      </w:r>
      <w:r w:rsidR="009A294B">
        <w:rPr>
          <w:lang w:val="nl-NL"/>
        </w:rPr>
        <w:t xml:space="preserve">verplichting </w:t>
      </w:r>
      <w:r w:rsidR="00550116" w:rsidRPr="00BC74EF">
        <w:rPr>
          <w:lang w:val="nl-NL"/>
        </w:rPr>
        <w:t xml:space="preserve">om in redelijke aanpassingen te voorzien </w:t>
      </w:r>
      <w:r w:rsidR="009A294B">
        <w:rPr>
          <w:lang w:val="nl-NL"/>
        </w:rPr>
        <w:t>is daarentegen van toepassing wanneer</w:t>
      </w:r>
      <w:r w:rsidR="00550116" w:rsidRPr="00BC74EF">
        <w:rPr>
          <w:lang w:val="nl-NL"/>
        </w:rPr>
        <w:t xml:space="preserve"> een persoon met een handicap zijn rechten tracht uit te oefenen of toegang verlangt in niet-toegankelijke situaties of omgevingen</w:t>
      </w:r>
      <w:r w:rsidR="00DA3473" w:rsidRPr="00BC74EF">
        <w:rPr>
          <w:lang w:val="nl-NL"/>
        </w:rPr>
        <w:t>.</w:t>
      </w:r>
      <w:r w:rsidR="00171A9F" w:rsidRPr="00BC74EF">
        <w:rPr>
          <w:rStyle w:val="Voetnootmarkering"/>
          <w:lang w:val="nl-NL"/>
        </w:rPr>
        <w:footnoteReference w:id="20"/>
      </w:r>
      <w:bookmarkEnd w:id="16"/>
    </w:p>
    <w:bookmarkEnd w:id="17"/>
    <w:p w14:paraId="52869E86" w14:textId="16BEAA23" w:rsidR="00F6202B" w:rsidRPr="00BC74EF" w:rsidRDefault="006D79AC">
      <w:pPr>
        <w:pStyle w:val="SingleTxtG"/>
        <w:tabs>
          <w:tab w:val="clear" w:pos="2268"/>
        </w:tabs>
        <w:rPr>
          <w:lang w:val="nl-NL"/>
        </w:rPr>
      </w:pPr>
      <w:r w:rsidRPr="00BC74EF">
        <w:rPr>
          <w:lang w:val="nl-NL"/>
        </w:rPr>
        <w:lastRenderedPageBreak/>
        <w:t>20.</w:t>
      </w:r>
      <w:r w:rsidRPr="00BC74EF">
        <w:rPr>
          <w:lang w:val="nl-NL"/>
        </w:rPr>
        <w:tab/>
      </w:r>
      <w:r w:rsidR="003C5AB4" w:rsidRPr="00BC74EF">
        <w:rPr>
          <w:lang w:val="nl-NL"/>
        </w:rPr>
        <w:t xml:space="preserve">Intimidatie is een vorm van discriminatie wanneer </w:t>
      </w:r>
      <w:r w:rsidR="009A294B">
        <w:rPr>
          <w:lang w:val="nl-NL"/>
        </w:rPr>
        <w:t xml:space="preserve">zich </w:t>
      </w:r>
      <w:r w:rsidR="003C5AB4" w:rsidRPr="00BC74EF">
        <w:rPr>
          <w:lang w:val="nl-NL"/>
        </w:rPr>
        <w:t xml:space="preserve">ongewenst gedrag in verband met een handicap of andere verboden gronden </w:t>
      </w:r>
      <w:r w:rsidR="009A294B">
        <w:rPr>
          <w:lang w:val="nl-NL"/>
        </w:rPr>
        <w:t>voordoet</w:t>
      </w:r>
      <w:r w:rsidR="003C5AB4" w:rsidRPr="00BC74EF">
        <w:rPr>
          <w:lang w:val="nl-NL"/>
        </w:rPr>
        <w:t xml:space="preserve"> met als doel of gevolg dat de waardigheid van een persoon wordt aangetast en een intimiderende, vijandige, beledigende, vernederende of kwetsende omgeving wordt gecreëerd.</w:t>
      </w:r>
      <w:r w:rsidR="00B55B32" w:rsidRPr="00BC74EF">
        <w:rPr>
          <w:rStyle w:val="Voetnootmarkering"/>
          <w:lang w:val="nl-NL"/>
        </w:rPr>
        <w:footnoteReference w:id="21"/>
      </w:r>
      <w:r w:rsidR="00B55B32" w:rsidRPr="00BC74EF">
        <w:rPr>
          <w:lang w:val="nl-NL"/>
        </w:rPr>
        <w:t xml:space="preserve"> Volgens het IAO-verdrag inzake geweld en intimidatie, 2019 (nr. 190), </w:t>
      </w:r>
      <w:r w:rsidR="003C5AB4" w:rsidRPr="00BC74EF">
        <w:rPr>
          <w:lang w:val="nl-NL"/>
        </w:rPr>
        <w:t xml:space="preserve">verwijst de term "geweld en intimidatie" in de arbeidswereld naar een </w:t>
      </w:r>
      <w:r w:rsidR="009A294B">
        <w:rPr>
          <w:lang w:val="nl-NL"/>
        </w:rPr>
        <w:t>patroon van</w:t>
      </w:r>
      <w:r w:rsidR="003C5AB4" w:rsidRPr="00BC74EF">
        <w:rPr>
          <w:lang w:val="nl-NL"/>
        </w:rPr>
        <w:t xml:space="preserve"> onaanvaardbare gedragingen en praktijken, of dreigingen daarmee, hetzij eenmalig of herhaaldelijk, die gericht zijn op, resulteren in, of waarschijnlijk zullen resulteren in fysieke, psychologische, seksuele of economische schade, en omvat het ook gendergerelateerd geweld en intimidatie. </w:t>
      </w:r>
    </w:p>
    <w:p w14:paraId="117C689A" w14:textId="68BCE8C2" w:rsidR="00F6202B" w:rsidRPr="00BC74EF" w:rsidRDefault="006D79AC">
      <w:pPr>
        <w:pStyle w:val="SingleTxtG"/>
        <w:tabs>
          <w:tab w:val="clear" w:pos="2268"/>
        </w:tabs>
        <w:rPr>
          <w:lang w:val="nl-NL"/>
        </w:rPr>
      </w:pPr>
      <w:r w:rsidRPr="00BC74EF">
        <w:rPr>
          <w:lang w:val="nl-NL"/>
        </w:rPr>
        <w:t>21.</w:t>
      </w:r>
      <w:r w:rsidRPr="00BC74EF">
        <w:rPr>
          <w:lang w:val="nl-NL"/>
        </w:rPr>
        <w:tab/>
      </w:r>
      <w:r w:rsidR="004C33F4">
        <w:rPr>
          <w:lang w:val="nl-NL"/>
        </w:rPr>
        <w:t>Van d</w:t>
      </w:r>
      <w:r w:rsidR="00EF5D46">
        <w:rPr>
          <w:lang w:val="nl-NL"/>
        </w:rPr>
        <w:t>iscriminatie door</w:t>
      </w:r>
      <w:r w:rsidR="00EF2AE3" w:rsidRPr="00BC74EF">
        <w:rPr>
          <w:lang w:val="nl-NL"/>
        </w:rPr>
        <w:t xml:space="preserve"> associatie</w:t>
      </w:r>
      <w:r w:rsidR="00EF5D46">
        <w:rPr>
          <w:lang w:val="nl-NL"/>
        </w:rPr>
        <w:t xml:space="preserve"> kan </w:t>
      </w:r>
      <w:r w:rsidR="004C33F4">
        <w:rPr>
          <w:lang w:val="nl-NL"/>
        </w:rPr>
        <w:t>sprake zijn</w:t>
      </w:r>
      <w:r w:rsidR="00EF2AE3" w:rsidRPr="00BC74EF">
        <w:rPr>
          <w:lang w:val="nl-NL"/>
        </w:rPr>
        <w:t xml:space="preserve"> wanneer familieleden of een persoon die een band heeft met een persoon met een handicap op het werk word</w:t>
      </w:r>
      <w:r w:rsidR="00EF5D46">
        <w:rPr>
          <w:lang w:val="nl-NL"/>
        </w:rPr>
        <w:t>t</w:t>
      </w:r>
      <w:r w:rsidR="00EF2AE3" w:rsidRPr="00BC74EF">
        <w:rPr>
          <w:lang w:val="nl-NL"/>
        </w:rPr>
        <w:t xml:space="preserve"> gediscrimineerd vanwege deze relatie </w:t>
      </w:r>
      <w:r w:rsidR="00F70F97" w:rsidRPr="00BC74EF">
        <w:rPr>
          <w:lang w:val="nl-NL"/>
        </w:rPr>
        <w:t>en de ontzegging van de rechten van de persoon in kwestie een directe of indirecte invloed heeft op het leven van personen met een handicap</w:t>
      </w:r>
      <w:r w:rsidR="004C33F4">
        <w:rPr>
          <w:lang w:val="nl-NL"/>
        </w:rPr>
        <w:t>.</w:t>
      </w:r>
      <w:r w:rsidR="002C634A" w:rsidRPr="00BC74EF">
        <w:rPr>
          <w:rStyle w:val="Voetnootmarkering"/>
          <w:lang w:val="nl-NL"/>
        </w:rPr>
        <w:footnoteReference w:id="22"/>
      </w:r>
    </w:p>
    <w:p w14:paraId="6CC5A154" w14:textId="681F59A5" w:rsidR="00F6202B" w:rsidRPr="00BC74EF" w:rsidRDefault="004C33F4" w:rsidP="00EF5D46">
      <w:pPr>
        <w:pStyle w:val="SingleTxtG"/>
        <w:tabs>
          <w:tab w:val="clear" w:pos="2268"/>
        </w:tabs>
        <w:rPr>
          <w:lang w:val="nl-NL"/>
        </w:rPr>
      </w:pPr>
      <w:r>
        <w:rPr>
          <w:lang w:val="nl-NL"/>
        </w:rPr>
        <w:t xml:space="preserve">22. </w:t>
      </w:r>
      <w:r>
        <w:rPr>
          <w:lang w:val="nl-NL"/>
        </w:rPr>
        <w:tab/>
      </w:r>
      <w:r w:rsidRPr="00BC74EF">
        <w:rPr>
          <w:lang w:val="nl-NL"/>
        </w:rPr>
        <w:t xml:space="preserve">Personen met een handicap worden vaak onevenredig zwaar getroffen door </w:t>
      </w:r>
      <w:r w:rsidR="00AD3B78" w:rsidRPr="00BC74EF">
        <w:rPr>
          <w:lang w:val="nl-NL"/>
        </w:rPr>
        <w:t xml:space="preserve">meervoudige en </w:t>
      </w:r>
      <w:r w:rsidRPr="00BC74EF">
        <w:rPr>
          <w:lang w:val="nl-NL"/>
        </w:rPr>
        <w:t xml:space="preserve">intersectionele discriminatie. </w:t>
      </w:r>
      <w:r w:rsidR="00151C9C">
        <w:rPr>
          <w:lang w:val="nl-NL"/>
        </w:rPr>
        <w:t xml:space="preserve">Door hun </w:t>
      </w:r>
      <w:r w:rsidRPr="00BC74EF">
        <w:rPr>
          <w:lang w:val="nl-NL"/>
        </w:rPr>
        <w:t xml:space="preserve">diversiteit </w:t>
      </w:r>
      <w:r w:rsidR="00151C9C">
        <w:rPr>
          <w:lang w:val="nl-NL"/>
        </w:rPr>
        <w:t>ondervinden</w:t>
      </w:r>
      <w:r w:rsidR="002806B8" w:rsidRPr="00BC74EF">
        <w:rPr>
          <w:lang w:val="nl-NL"/>
        </w:rPr>
        <w:t xml:space="preserve"> </w:t>
      </w:r>
      <w:r w:rsidRPr="00BC74EF">
        <w:rPr>
          <w:lang w:val="nl-NL"/>
        </w:rPr>
        <w:t xml:space="preserve">personen met een handicap verschillende belemmeringen bij </w:t>
      </w:r>
      <w:r w:rsidR="00151C9C">
        <w:rPr>
          <w:lang w:val="nl-NL"/>
        </w:rPr>
        <w:t>de uitoefening</w:t>
      </w:r>
      <w:r w:rsidRPr="00BC74EF">
        <w:rPr>
          <w:lang w:val="nl-NL"/>
        </w:rPr>
        <w:t xml:space="preserve"> van het recht op werk en </w:t>
      </w:r>
      <w:r w:rsidR="00151C9C">
        <w:rPr>
          <w:lang w:val="nl-NL"/>
        </w:rPr>
        <w:t>volgen zij</w:t>
      </w:r>
      <w:r w:rsidRPr="00BC74EF">
        <w:rPr>
          <w:lang w:val="nl-NL"/>
        </w:rPr>
        <w:t xml:space="preserve"> </w:t>
      </w:r>
      <w:r w:rsidR="00151C9C">
        <w:rPr>
          <w:lang w:val="nl-NL"/>
        </w:rPr>
        <w:t>in de loop van hun beroepsleven</w:t>
      </w:r>
      <w:r w:rsidRPr="00BC74EF">
        <w:rPr>
          <w:lang w:val="nl-NL"/>
        </w:rPr>
        <w:t xml:space="preserve"> verschillende </w:t>
      </w:r>
      <w:r w:rsidR="00151C9C">
        <w:rPr>
          <w:lang w:val="nl-NL"/>
        </w:rPr>
        <w:t>trajecten</w:t>
      </w:r>
      <w:r w:rsidRPr="00BC74EF">
        <w:rPr>
          <w:lang w:val="nl-NL"/>
        </w:rPr>
        <w:t xml:space="preserve">. Van meervoudige discriminatie </w:t>
      </w:r>
      <w:r w:rsidR="00A12B2E" w:rsidRPr="00BC74EF">
        <w:rPr>
          <w:lang w:val="nl-NL"/>
        </w:rPr>
        <w:t xml:space="preserve">is sprake wanneer </w:t>
      </w:r>
      <w:r w:rsidRPr="00BC74EF">
        <w:rPr>
          <w:lang w:val="nl-NL"/>
        </w:rPr>
        <w:t>iemand op twee of meer gronden wordt gediscrimineerd, wat leidt tot discriminatie die wordt verergerd of versterkt</w:t>
      </w:r>
      <w:r w:rsidR="00A12B2E" w:rsidRPr="00BC74EF">
        <w:rPr>
          <w:lang w:val="nl-NL"/>
        </w:rPr>
        <w:t xml:space="preserve">, </w:t>
      </w:r>
      <w:r w:rsidR="00151C9C">
        <w:rPr>
          <w:lang w:val="nl-NL"/>
        </w:rPr>
        <w:t>terwijl</w:t>
      </w:r>
      <w:r w:rsidR="00A12B2E" w:rsidRPr="00BC74EF">
        <w:rPr>
          <w:lang w:val="nl-NL"/>
        </w:rPr>
        <w:t xml:space="preserve"> van </w:t>
      </w:r>
      <w:r w:rsidRPr="00BC74EF">
        <w:rPr>
          <w:lang w:val="nl-NL"/>
        </w:rPr>
        <w:t>intersectionele discriminatie is sprake wanneer verschillende gronden tegelijkertijd op zodanige wijze op elkaar inwerken dat zij onlosmakelijk met elkaar verbonden zijn</w:t>
      </w:r>
      <w:r w:rsidRPr="00BC74EF">
        <w:rPr>
          <w:rStyle w:val="Voetnootmarkering"/>
          <w:lang w:val="nl-NL"/>
        </w:rPr>
        <w:footnoteReference w:id="23"/>
      </w:r>
      <w:r w:rsidR="00A12B2E" w:rsidRPr="00BC74EF">
        <w:rPr>
          <w:lang w:val="nl-NL"/>
        </w:rPr>
        <w:t xml:space="preserve"> </w:t>
      </w:r>
      <w:r>
        <w:rPr>
          <w:lang w:val="nl-NL"/>
        </w:rPr>
        <w:t>De begrippen</w:t>
      </w:r>
      <w:r w:rsidR="00A12B2E" w:rsidRPr="00BC74EF">
        <w:rPr>
          <w:lang w:val="nl-NL"/>
        </w:rPr>
        <w:t xml:space="preserve"> meervoudige en </w:t>
      </w:r>
      <w:r w:rsidRPr="00BC74EF">
        <w:rPr>
          <w:lang w:val="nl-NL"/>
        </w:rPr>
        <w:t xml:space="preserve">intersectionele discriminatie </w:t>
      </w:r>
      <w:r>
        <w:rPr>
          <w:lang w:val="nl-NL"/>
        </w:rPr>
        <w:t>geven rekenschap van het feit dat</w:t>
      </w:r>
      <w:r w:rsidRPr="00BC74EF">
        <w:rPr>
          <w:lang w:val="nl-NL"/>
        </w:rPr>
        <w:t xml:space="preserve"> personen discriminatie niet ervaren als leden van een </w:t>
      </w:r>
      <w:r w:rsidR="00A12B2E" w:rsidRPr="00BC74EF">
        <w:rPr>
          <w:lang w:val="nl-NL"/>
        </w:rPr>
        <w:t xml:space="preserve">homogene </w:t>
      </w:r>
      <w:r w:rsidRPr="00BC74EF">
        <w:rPr>
          <w:lang w:val="nl-NL"/>
        </w:rPr>
        <w:t xml:space="preserve">groep, maar eerder als individuen </w:t>
      </w:r>
      <w:r w:rsidR="00151C9C" w:rsidRPr="00151C9C">
        <w:rPr>
          <w:lang w:val="nl-NL"/>
        </w:rPr>
        <w:t>wier identiteit, status en leven uit verschillende lagen en dimensies bestaat</w:t>
      </w:r>
      <w:r w:rsidRPr="00BC74EF">
        <w:rPr>
          <w:lang w:val="nl-NL"/>
        </w:rPr>
        <w:t xml:space="preserve">. </w:t>
      </w:r>
      <w:r w:rsidR="00A86F65" w:rsidRPr="00BC74EF">
        <w:rPr>
          <w:lang w:val="nl-NL"/>
        </w:rPr>
        <w:t xml:space="preserve">Intersectionele lagen van identiteit </w:t>
      </w:r>
      <w:r w:rsidRPr="00BC74EF">
        <w:rPr>
          <w:lang w:val="nl-NL"/>
        </w:rPr>
        <w:t>omvatten leeftijd, ras, inheemse, nationale of sociale afkomst, vluchtelingen-, migranten- of asielzoekersstatus, politieke of andere overtuiging, godsdienst, geslacht, seksuele geaardheid en genderidentiteit.</w:t>
      </w:r>
    </w:p>
    <w:p w14:paraId="74CAF4FF" w14:textId="324F6D25" w:rsidR="00F6202B" w:rsidRPr="00BC74EF" w:rsidRDefault="006D79AC">
      <w:pPr>
        <w:pStyle w:val="SingleTxtG"/>
        <w:tabs>
          <w:tab w:val="clear" w:pos="2268"/>
        </w:tabs>
        <w:rPr>
          <w:lang w:val="nl-NL"/>
        </w:rPr>
      </w:pPr>
      <w:r w:rsidRPr="00BC74EF">
        <w:rPr>
          <w:lang w:val="nl-NL"/>
        </w:rPr>
        <w:t>2</w:t>
      </w:r>
      <w:r w:rsidR="004C33F4">
        <w:rPr>
          <w:lang w:val="nl-NL"/>
        </w:rPr>
        <w:t>3</w:t>
      </w:r>
      <w:r w:rsidRPr="00BC74EF">
        <w:rPr>
          <w:lang w:val="nl-NL"/>
        </w:rPr>
        <w:t>.</w:t>
      </w:r>
      <w:r w:rsidRPr="00BC74EF">
        <w:rPr>
          <w:lang w:val="nl-NL"/>
        </w:rPr>
        <w:tab/>
      </w:r>
      <w:r w:rsidR="00A86F65" w:rsidRPr="00BC74EF">
        <w:rPr>
          <w:lang w:val="nl-NL"/>
        </w:rPr>
        <w:t xml:space="preserve">Deze </w:t>
      </w:r>
      <w:r w:rsidR="003C5AB4" w:rsidRPr="00BC74EF">
        <w:rPr>
          <w:lang w:val="nl-NL"/>
        </w:rPr>
        <w:t xml:space="preserve">concepten </w:t>
      </w:r>
      <w:r w:rsidR="00E23A39" w:rsidRPr="00BC74EF">
        <w:rPr>
          <w:lang w:val="nl-NL"/>
        </w:rPr>
        <w:t xml:space="preserve">weerspiegelen </w:t>
      </w:r>
      <w:r w:rsidR="004C33F4">
        <w:rPr>
          <w:lang w:val="nl-NL"/>
        </w:rPr>
        <w:t>het dagelijks leven en de</w:t>
      </w:r>
      <w:r w:rsidR="003C5AB4" w:rsidRPr="00BC74EF">
        <w:rPr>
          <w:lang w:val="nl-NL"/>
        </w:rPr>
        <w:t xml:space="preserve"> realiteit van verhoogde achterstelling van personen </w:t>
      </w:r>
      <w:r w:rsidR="00F11537">
        <w:rPr>
          <w:lang w:val="nl-NL"/>
        </w:rPr>
        <w:t>die het slachtoffer zijn van meervoudige en intersectionele discriminat</w:t>
      </w:r>
      <w:r w:rsidR="00792FF6">
        <w:rPr>
          <w:lang w:val="nl-NL"/>
        </w:rPr>
        <w:t>ie</w:t>
      </w:r>
      <w:r w:rsidR="003C5AB4" w:rsidRPr="00BC74EF">
        <w:rPr>
          <w:rStyle w:val="Voetnootmarkering"/>
          <w:lang w:val="nl-NL"/>
        </w:rPr>
        <w:footnoteReference w:id="24"/>
      </w:r>
      <w:r w:rsidR="003C5AB4" w:rsidRPr="00BC74EF">
        <w:rPr>
          <w:lang w:val="nl-NL"/>
        </w:rPr>
        <w:t xml:space="preserve"> </w:t>
      </w:r>
      <w:r w:rsidR="00F11537">
        <w:rPr>
          <w:lang w:val="nl-NL"/>
        </w:rPr>
        <w:t xml:space="preserve">en daardoor grotere ongelijkheden ondervinden. </w:t>
      </w:r>
      <w:r w:rsidR="003C5AB4" w:rsidRPr="00BC74EF">
        <w:rPr>
          <w:lang w:val="nl-NL"/>
        </w:rPr>
        <w:t xml:space="preserve">Het Comité heeft verschillende situaties van meervoudige en intersectionele discriminatie </w:t>
      </w:r>
      <w:r w:rsidR="00792FF6">
        <w:rPr>
          <w:lang w:val="nl-NL"/>
        </w:rPr>
        <w:t>onder de loep genomen</w:t>
      </w:r>
      <w:r w:rsidR="000A6897" w:rsidRPr="00BC74EF">
        <w:rPr>
          <w:lang w:val="nl-NL"/>
        </w:rPr>
        <w:t xml:space="preserve">. Zo </w:t>
      </w:r>
      <w:r w:rsidR="003C5AB4" w:rsidRPr="00BC74EF">
        <w:rPr>
          <w:lang w:val="nl-NL"/>
        </w:rPr>
        <w:t>worden</w:t>
      </w:r>
      <w:bookmarkStart w:id="19" w:name="_Hlk104548883"/>
      <w:r w:rsidR="003C5AB4" w:rsidRPr="00BC74EF">
        <w:rPr>
          <w:lang w:val="nl-NL"/>
        </w:rPr>
        <w:t xml:space="preserve"> vrouwen en </w:t>
      </w:r>
      <w:r w:rsidR="00F95F1D" w:rsidRPr="00F95F1D">
        <w:rPr>
          <w:lang w:val="nl-NL"/>
        </w:rPr>
        <w:t>niet-gender-conforme</w:t>
      </w:r>
      <w:r w:rsidR="00F95F1D">
        <w:rPr>
          <w:lang w:val="nl-NL"/>
        </w:rPr>
        <w:t xml:space="preserve"> </w:t>
      </w:r>
      <w:r w:rsidR="003C5AB4" w:rsidRPr="00BC74EF">
        <w:rPr>
          <w:lang w:val="nl-NL"/>
        </w:rPr>
        <w:t xml:space="preserve">personen met een handicap geconfronteerd met een </w:t>
      </w:r>
      <w:r w:rsidR="00792FF6">
        <w:rPr>
          <w:lang w:val="nl-NL"/>
        </w:rPr>
        <w:t>combinatie</w:t>
      </w:r>
      <w:r w:rsidR="003C5AB4" w:rsidRPr="00BC74EF">
        <w:rPr>
          <w:lang w:val="nl-NL"/>
        </w:rPr>
        <w:t xml:space="preserve"> van </w:t>
      </w:r>
      <w:r w:rsidR="00E23A39" w:rsidRPr="00BC74EF">
        <w:rPr>
          <w:lang w:val="nl-NL"/>
        </w:rPr>
        <w:t xml:space="preserve">gender- </w:t>
      </w:r>
      <w:r w:rsidR="003C5AB4" w:rsidRPr="00BC74EF">
        <w:rPr>
          <w:lang w:val="nl-NL"/>
        </w:rPr>
        <w:t xml:space="preserve">en handicapgerelateerde belemmeringen </w:t>
      </w:r>
      <w:r w:rsidR="00060BD7">
        <w:rPr>
          <w:lang w:val="nl-NL"/>
        </w:rPr>
        <w:t>die betrekking kunnen hebben op</w:t>
      </w:r>
      <w:r w:rsidR="003C5AB4" w:rsidRPr="00BC74EF">
        <w:rPr>
          <w:lang w:val="nl-NL"/>
        </w:rPr>
        <w:t xml:space="preserve"> attitudes, omstandigheden en het werk zelf</w:t>
      </w:r>
      <w:r w:rsidR="00E23A39" w:rsidRPr="00BC74EF">
        <w:rPr>
          <w:lang w:val="nl-NL"/>
        </w:rPr>
        <w:t xml:space="preserve">, waaronder de </w:t>
      </w:r>
      <w:r w:rsidR="00792FF6">
        <w:rPr>
          <w:lang w:val="nl-NL"/>
        </w:rPr>
        <w:t>cumulatieve</w:t>
      </w:r>
      <w:r w:rsidR="003C5AB4" w:rsidRPr="00BC74EF">
        <w:rPr>
          <w:lang w:val="nl-NL"/>
        </w:rPr>
        <w:t xml:space="preserve"> effecten van </w:t>
      </w:r>
      <w:r w:rsidR="008F1B6A" w:rsidRPr="00BC74EF">
        <w:rPr>
          <w:lang w:val="nl-NL"/>
        </w:rPr>
        <w:t xml:space="preserve">meervoudige </w:t>
      </w:r>
      <w:r w:rsidR="003C5AB4" w:rsidRPr="00BC74EF">
        <w:rPr>
          <w:lang w:val="nl-NL"/>
        </w:rPr>
        <w:t>discriminatie die hun kansen op werk beperk</w:t>
      </w:r>
      <w:r w:rsidR="00792FF6">
        <w:rPr>
          <w:lang w:val="nl-NL"/>
        </w:rPr>
        <w:t>en</w:t>
      </w:r>
      <w:r w:rsidR="008F1B6A" w:rsidRPr="00BC74EF">
        <w:rPr>
          <w:lang w:val="nl-NL"/>
        </w:rPr>
        <w:t xml:space="preserve">, hun recht op gelijke beloning aantast </w:t>
      </w:r>
      <w:r w:rsidR="00E23A39" w:rsidRPr="00BC74EF">
        <w:rPr>
          <w:lang w:val="nl-NL"/>
        </w:rPr>
        <w:t xml:space="preserve">en het </w:t>
      </w:r>
      <w:r w:rsidR="003C5AB4" w:rsidRPr="00BC74EF">
        <w:rPr>
          <w:lang w:val="nl-NL"/>
        </w:rPr>
        <w:t xml:space="preserve">risico op geweld en intimidatie op de werkplek </w:t>
      </w:r>
      <w:r w:rsidR="008F1B6A" w:rsidRPr="00BC74EF">
        <w:rPr>
          <w:lang w:val="nl-NL"/>
        </w:rPr>
        <w:t>vergrot</w:t>
      </w:r>
      <w:r w:rsidR="00792FF6">
        <w:rPr>
          <w:lang w:val="nl-NL"/>
        </w:rPr>
        <w:t>en</w:t>
      </w:r>
      <w:r w:rsidR="000A6897" w:rsidRPr="00BC74EF">
        <w:rPr>
          <w:lang w:val="nl-NL"/>
        </w:rPr>
        <w:t xml:space="preserve">. Ook de </w:t>
      </w:r>
      <w:r w:rsidR="003C5AB4" w:rsidRPr="00BC74EF">
        <w:rPr>
          <w:lang w:val="nl-NL"/>
        </w:rPr>
        <w:t xml:space="preserve">interactie tussen </w:t>
      </w:r>
      <w:r w:rsidR="00FE02AE" w:rsidRPr="00BC74EF">
        <w:rPr>
          <w:lang w:val="nl-NL"/>
        </w:rPr>
        <w:t xml:space="preserve">discriminatie </w:t>
      </w:r>
      <w:r w:rsidR="003C5AB4" w:rsidRPr="00BC74EF">
        <w:rPr>
          <w:lang w:val="nl-NL"/>
        </w:rPr>
        <w:t xml:space="preserve">op grond van </w:t>
      </w:r>
      <w:r w:rsidR="00FE02AE" w:rsidRPr="00BC74EF">
        <w:rPr>
          <w:lang w:val="nl-NL"/>
        </w:rPr>
        <w:t xml:space="preserve">handicap </w:t>
      </w:r>
      <w:r w:rsidR="003C5AB4" w:rsidRPr="00BC74EF">
        <w:rPr>
          <w:lang w:val="nl-NL"/>
        </w:rPr>
        <w:t xml:space="preserve">en leeftijd heeft tot gevolg dat jongeren en ouderen met een handicap wezenlijk andere problemen kunnen ondervinden bij het </w:t>
      </w:r>
      <w:r w:rsidR="00060BD7">
        <w:rPr>
          <w:lang w:val="nl-NL"/>
        </w:rPr>
        <w:t>uitoefening</w:t>
      </w:r>
      <w:r w:rsidR="003C5AB4" w:rsidRPr="00BC74EF">
        <w:rPr>
          <w:lang w:val="nl-NL"/>
        </w:rPr>
        <w:t xml:space="preserve"> van het recht op </w:t>
      </w:r>
      <w:r w:rsidR="00060BD7">
        <w:rPr>
          <w:lang w:val="nl-NL"/>
        </w:rPr>
        <w:t>arbeid</w:t>
      </w:r>
      <w:r w:rsidR="003C5AB4" w:rsidRPr="00BC74EF">
        <w:rPr>
          <w:lang w:val="nl-NL"/>
        </w:rPr>
        <w:t xml:space="preserve">. </w:t>
      </w:r>
      <w:bookmarkEnd w:id="19"/>
    </w:p>
    <w:p w14:paraId="2925C09E" w14:textId="77777777" w:rsidR="00F6202B" w:rsidRPr="00BC74EF" w:rsidRDefault="002755DB">
      <w:pPr>
        <w:pStyle w:val="H1G"/>
        <w:rPr>
          <w:lang w:val="nl-NL"/>
        </w:rPr>
      </w:pPr>
      <w:r w:rsidRPr="00BC74EF">
        <w:rPr>
          <w:lang w:val="nl-NL"/>
        </w:rPr>
        <w:tab/>
      </w:r>
      <w:r w:rsidR="00E65790" w:rsidRPr="00BC74EF">
        <w:rPr>
          <w:lang w:val="nl-NL"/>
        </w:rPr>
        <w:t>C.</w:t>
      </w:r>
      <w:r w:rsidRPr="00BC74EF">
        <w:rPr>
          <w:lang w:val="nl-NL"/>
        </w:rPr>
        <w:tab/>
      </w:r>
      <w:r w:rsidR="0011333D" w:rsidRPr="00BC74EF">
        <w:rPr>
          <w:lang w:val="nl-NL"/>
        </w:rPr>
        <w:t xml:space="preserve">Recht op </w:t>
      </w:r>
      <w:r w:rsidR="003C5AB4" w:rsidRPr="00BC74EF">
        <w:rPr>
          <w:lang w:val="nl-NL"/>
        </w:rPr>
        <w:t xml:space="preserve">rechtvaardige en gunstige arbeidsvoorwaarden op voet van gelijkheid met anderen </w:t>
      </w:r>
      <w:r w:rsidR="001E55F9" w:rsidRPr="00BC74EF">
        <w:rPr>
          <w:lang w:val="nl-NL"/>
        </w:rPr>
        <w:t>(art. 27, lid 1, onder b))</w:t>
      </w:r>
    </w:p>
    <w:p w14:paraId="285B291E" w14:textId="772ADC22" w:rsidR="00F6202B" w:rsidRPr="00BC74EF" w:rsidRDefault="006D79AC">
      <w:pPr>
        <w:pStyle w:val="SingleTxtG"/>
        <w:tabs>
          <w:tab w:val="clear" w:pos="2268"/>
        </w:tabs>
        <w:rPr>
          <w:lang w:val="nl-NL"/>
        </w:rPr>
      </w:pPr>
      <w:r w:rsidRPr="00BC74EF">
        <w:rPr>
          <w:lang w:val="nl-NL"/>
        </w:rPr>
        <w:t>2</w:t>
      </w:r>
      <w:r w:rsidR="00792FF6">
        <w:rPr>
          <w:lang w:val="nl-NL"/>
        </w:rPr>
        <w:t>4</w:t>
      </w:r>
      <w:r w:rsidRPr="00BC74EF">
        <w:rPr>
          <w:lang w:val="nl-NL"/>
        </w:rPr>
        <w:t>.</w:t>
      </w:r>
      <w:r w:rsidRPr="00BC74EF">
        <w:rPr>
          <w:lang w:val="nl-NL"/>
        </w:rPr>
        <w:tab/>
      </w:r>
      <w:r w:rsidR="003C5AB4" w:rsidRPr="00BC74EF">
        <w:rPr>
          <w:lang w:val="nl-NL"/>
        </w:rPr>
        <w:t xml:space="preserve">Artikel 27, lid 1, onder b), </w:t>
      </w:r>
      <w:r w:rsidR="00060BD7">
        <w:rPr>
          <w:lang w:val="nl-NL"/>
        </w:rPr>
        <w:t>betreft</w:t>
      </w:r>
      <w:r w:rsidR="003C5AB4" w:rsidRPr="00BC74EF">
        <w:rPr>
          <w:lang w:val="nl-NL"/>
        </w:rPr>
        <w:t xml:space="preserve"> </w:t>
      </w:r>
      <w:r w:rsidR="00634EA8" w:rsidRPr="00BC74EF">
        <w:rPr>
          <w:lang w:val="nl-NL"/>
        </w:rPr>
        <w:t xml:space="preserve">de bescherming van de rechten van personen met een handicap, op voet van gelijkheid met anderen, op </w:t>
      </w:r>
      <w:r w:rsidR="003C5AB4" w:rsidRPr="00BC74EF">
        <w:rPr>
          <w:lang w:val="nl-NL"/>
        </w:rPr>
        <w:t>rechtvaardige en gunstige arbeidsvoorwaarden</w:t>
      </w:r>
      <w:r w:rsidR="00634EA8" w:rsidRPr="00BC74EF">
        <w:rPr>
          <w:lang w:val="nl-NL"/>
        </w:rPr>
        <w:t>, waaronder</w:t>
      </w:r>
      <w:r w:rsidR="00F2417E" w:rsidRPr="00BC74EF">
        <w:rPr>
          <w:lang w:val="nl-NL"/>
        </w:rPr>
        <w:t>;</w:t>
      </w:r>
    </w:p>
    <w:p w14:paraId="4C4534D2" w14:textId="00521403" w:rsidR="00F6202B" w:rsidRPr="00BC74EF" w:rsidRDefault="002755DB">
      <w:pPr>
        <w:pStyle w:val="SingleTxtG"/>
        <w:tabs>
          <w:tab w:val="clear" w:pos="2268"/>
        </w:tabs>
        <w:ind w:left="1701"/>
        <w:rPr>
          <w:lang w:val="nl-NL"/>
        </w:rPr>
      </w:pPr>
      <w:r w:rsidRPr="00BC74EF">
        <w:rPr>
          <w:lang w:val="nl-NL"/>
        </w:rPr>
        <w:t>(a)</w:t>
      </w:r>
      <w:r w:rsidRPr="00BC74EF">
        <w:rPr>
          <w:lang w:val="nl-NL"/>
        </w:rPr>
        <w:tab/>
      </w:r>
      <w:r w:rsidR="003C5AB4" w:rsidRPr="00BC74EF">
        <w:rPr>
          <w:lang w:val="nl-NL"/>
        </w:rPr>
        <w:t>Gelijke kansen en gelijk</w:t>
      </w:r>
      <w:r w:rsidR="00060BD7">
        <w:rPr>
          <w:lang w:val="nl-NL"/>
        </w:rPr>
        <w:t xml:space="preserve"> loon</w:t>
      </w:r>
      <w:r w:rsidR="003C5AB4" w:rsidRPr="00BC74EF">
        <w:rPr>
          <w:lang w:val="nl-NL"/>
        </w:rPr>
        <w:t xml:space="preserve"> voor </w:t>
      </w:r>
      <w:r w:rsidR="00060BD7">
        <w:rPr>
          <w:lang w:val="nl-NL"/>
        </w:rPr>
        <w:t xml:space="preserve">gelijk </w:t>
      </w:r>
      <w:r w:rsidR="003C5AB4" w:rsidRPr="00BC74EF">
        <w:rPr>
          <w:lang w:val="nl-NL"/>
        </w:rPr>
        <w:t>werk</w:t>
      </w:r>
      <w:r w:rsidR="00F2417E" w:rsidRPr="00BC74EF">
        <w:rPr>
          <w:lang w:val="nl-NL"/>
        </w:rPr>
        <w:t>;</w:t>
      </w:r>
    </w:p>
    <w:p w14:paraId="16083CBA" w14:textId="77777777" w:rsidR="00F6202B" w:rsidRPr="00BC74EF" w:rsidRDefault="002755DB">
      <w:pPr>
        <w:pStyle w:val="SingleTxtG"/>
        <w:tabs>
          <w:tab w:val="clear" w:pos="2268"/>
        </w:tabs>
        <w:ind w:left="1701"/>
        <w:rPr>
          <w:lang w:val="nl-NL"/>
        </w:rPr>
      </w:pPr>
      <w:r w:rsidRPr="00BC74EF">
        <w:rPr>
          <w:lang w:val="nl-NL"/>
        </w:rPr>
        <w:t>(b)</w:t>
      </w:r>
      <w:r w:rsidRPr="00BC74EF">
        <w:rPr>
          <w:lang w:val="nl-NL"/>
        </w:rPr>
        <w:tab/>
      </w:r>
      <w:r w:rsidR="003C5AB4" w:rsidRPr="00BC74EF">
        <w:rPr>
          <w:lang w:val="nl-NL"/>
        </w:rPr>
        <w:t>Veilige en gezonde arbeidsomstandigheden</w:t>
      </w:r>
      <w:r w:rsidR="00634EA8" w:rsidRPr="00BC74EF">
        <w:rPr>
          <w:lang w:val="nl-NL"/>
        </w:rPr>
        <w:t xml:space="preserve">, met inbegrip van </w:t>
      </w:r>
      <w:r w:rsidR="003C5AB4" w:rsidRPr="00BC74EF">
        <w:rPr>
          <w:lang w:val="nl-NL"/>
        </w:rPr>
        <w:t>bescherming tegen intimidatie</w:t>
      </w:r>
      <w:r w:rsidR="00F2417E" w:rsidRPr="00BC74EF">
        <w:rPr>
          <w:lang w:val="nl-NL"/>
        </w:rPr>
        <w:t>;</w:t>
      </w:r>
    </w:p>
    <w:p w14:paraId="550E5647" w14:textId="1E303BCE" w:rsidR="00F6202B" w:rsidRPr="00BC74EF" w:rsidRDefault="002755DB">
      <w:pPr>
        <w:pStyle w:val="SingleTxtG"/>
        <w:tabs>
          <w:tab w:val="clear" w:pos="2268"/>
        </w:tabs>
        <w:ind w:left="1701"/>
        <w:rPr>
          <w:lang w:val="nl-NL"/>
        </w:rPr>
      </w:pPr>
      <w:r w:rsidRPr="00BC74EF">
        <w:rPr>
          <w:lang w:val="nl-NL"/>
        </w:rPr>
        <w:lastRenderedPageBreak/>
        <w:t>(c)</w:t>
      </w:r>
      <w:r w:rsidRPr="00BC74EF">
        <w:rPr>
          <w:lang w:val="nl-NL"/>
        </w:rPr>
        <w:tab/>
      </w:r>
      <w:r w:rsidR="00060BD7">
        <w:rPr>
          <w:lang w:val="nl-NL"/>
        </w:rPr>
        <w:t>Klachtenprocedures</w:t>
      </w:r>
      <w:r w:rsidR="003C5AB4" w:rsidRPr="00BC74EF">
        <w:rPr>
          <w:lang w:val="nl-NL"/>
        </w:rPr>
        <w:t xml:space="preserve">. </w:t>
      </w:r>
    </w:p>
    <w:p w14:paraId="2210D02A" w14:textId="757A553C" w:rsidR="00F6202B" w:rsidRPr="00BC74EF" w:rsidRDefault="006D79AC">
      <w:pPr>
        <w:pStyle w:val="SingleTxtG"/>
        <w:tabs>
          <w:tab w:val="clear" w:pos="2268"/>
        </w:tabs>
        <w:rPr>
          <w:lang w:val="nl-NL"/>
        </w:rPr>
      </w:pPr>
      <w:r w:rsidRPr="00BC74EF">
        <w:rPr>
          <w:lang w:val="nl-NL"/>
        </w:rPr>
        <w:t>2</w:t>
      </w:r>
      <w:r w:rsidR="00792FF6">
        <w:rPr>
          <w:lang w:val="nl-NL"/>
        </w:rPr>
        <w:t>5</w:t>
      </w:r>
      <w:r w:rsidRPr="00BC74EF">
        <w:rPr>
          <w:lang w:val="nl-NL"/>
        </w:rPr>
        <w:t>.</w:t>
      </w:r>
      <w:r w:rsidRPr="00BC74EF">
        <w:rPr>
          <w:lang w:val="nl-NL"/>
        </w:rPr>
        <w:tab/>
      </w:r>
      <w:r w:rsidR="003C5AB4" w:rsidRPr="00BC74EF">
        <w:rPr>
          <w:lang w:val="nl-NL"/>
        </w:rPr>
        <w:t xml:space="preserve">Het recht van </w:t>
      </w:r>
      <w:r w:rsidR="00060BD7">
        <w:rPr>
          <w:lang w:val="nl-NL"/>
        </w:rPr>
        <w:t>personen met een handicap</w:t>
      </w:r>
      <w:r w:rsidR="003C5AB4" w:rsidRPr="00BC74EF">
        <w:rPr>
          <w:lang w:val="nl-NL"/>
        </w:rPr>
        <w:t xml:space="preserve"> op rechtvaardige en gunstige arbeids</w:t>
      </w:r>
      <w:r w:rsidR="00792FF6">
        <w:rPr>
          <w:lang w:val="nl-NL"/>
        </w:rPr>
        <w:t>omstandigheden</w:t>
      </w:r>
      <w:r w:rsidR="003C5AB4" w:rsidRPr="00BC74EF">
        <w:rPr>
          <w:lang w:val="nl-NL"/>
        </w:rPr>
        <w:t xml:space="preserve"> </w:t>
      </w:r>
      <w:r w:rsidR="00060BD7">
        <w:rPr>
          <w:lang w:val="nl-NL"/>
        </w:rPr>
        <w:t>vloeit voort uit het</w:t>
      </w:r>
      <w:r w:rsidR="003C5AB4" w:rsidRPr="00BC74EF">
        <w:rPr>
          <w:lang w:val="nl-NL"/>
        </w:rPr>
        <w:t xml:space="preserve"> recht op de </w:t>
      </w:r>
      <w:r w:rsidR="00CB5AF3" w:rsidRPr="00BC74EF">
        <w:rPr>
          <w:lang w:val="nl-NL"/>
        </w:rPr>
        <w:t xml:space="preserve">mogelijkheid om in het levensonderhoud te voorzien door middel van </w:t>
      </w:r>
      <w:r w:rsidR="003C5AB4" w:rsidRPr="00BC74EF">
        <w:rPr>
          <w:lang w:val="nl-NL"/>
        </w:rPr>
        <w:t>in vrijheid gekozen of aanvaard</w:t>
      </w:r>
      <w:r w:rsidR="00060BD7">
        <w:rPr>
          <w:lang w:val="nl-NL"/>
        </w:rPr>
        <w:t xml:space="preserve"> werk</w:t>
      </w:r>
      <w:r w:rsidR="003C5AB4" w:rsidRPr="00BC74EF">
        <w:rPr>
          <w:lang w:val="nl-NL"/>
        </w:rPr>
        <w:t xml:space="preserve">. Het is een belangrijk onderdeel van andere in het </w:t>
      </w:r>
      <w:r w:rsidR="00060BD7">
        <w:rPr>
          <w:lang w:val="nl-NL"/>
        </w:rPr>
        <w:t>V</w:t>
      </w:r>
      <w:r w:rsidR="003C5AB4" w:rsidRPr="00BC74EF">
        <w:rPr>
          <w:lang w:val="nl-NL"/>
        </w:rPr>
        <w:t>erdrag vastgelegde rechten</w:t>
      </w:r>
      <w:r w:rsidR="00DC45A6" w:rsidRPr="00BC74EF">
        <w:rPr>
          <w:lang w:val="nl-NL"/>
        </w:rPr>
        <w:t xml:space="preserve">, </w:t>
      </w:r>
      <w:r w:rsidR="003C5AB4" w:rsidRPr="00BC74EF">
        <w:rPr>
          <w:lang w:val="nl-NL"/>
        </w:rPr>
        <w:t xml:space="preserve">zoals vakbondsrechten </w:t>
      </w:r>
      <w:r w:rsidR="00DC45A6" w:rsidRPr="00BC74EF">
        <w:rPr>
          <w:lang w:val="nl-NL"/>
        </w:rPr>
        <w:t>(</w:t>
      </w:r>
      <w:r w:rsidR="003C5AB4" w:rsidRPr="00BC74EF">
        <w:rPr>
          <w:lang w:val="nl-NL"/>
        </w:rPr>
        <w:t>art</w:t>
      </w:r>
      <w:r w:rsidR="00DC45A6" w:rsidRPr="00BC74EF">
        <w:rPr>
          <w:lang w:val="nl-NL"/>
        </w:rPr>
        <w:t xml:space="preserve">. </w:t>
      </w:r>
      <w:r w:rsidR="003C5AB4" w:rsidRPr="00BC74EF">
        <w:rPr>
          <w:lang w:val="nl-NL"/>
        </w:rPr>
        <w:t>27, lid 1, onder c)</w:t>
      </w:r>
      <w:r w:rsidR="00DC45A6" w:rsidRPr="00BC74EF">
        <w:rPr>
          <w:lang w:val="nl-NL"/>
        </w:rPr>
        <w:t xml:space="preserve">), en </w:t>
      </w:r>
      <w:r w:rsidR="003C5AB4" w:rsidRPr="00BC74EF">
        <w:rPr>
          <w:lang w:val="nl-NL"/>
        </w:rPr>
        <w:t xml:space="preserve">het genot </w:t>
      </w:r>
      <w:r w:rsidR="00DC45A6" w:rsidRPr="00BC74EF">
        <w:rPr>
          <w:lang w:val="nl-NL"/>
        </w:rPr>
        <w:t xml:space="preserve">ervan </w:t>
      </w:r>
      <w:r w:rsidR="003C5AB4" w:rsidRPr="00BC74EF">
        <w:rPr>
          <w:lang w:val="nl-NL"/>
        </w:rPr>
        <w:t xml:space="preserve">is een voorwaarde voor en </w:t>
      </w:r>
      <w:r w:rsidR="00DC45A6" w:rsidRPr="00BC74EF">
        <w:rPr>
          <w:lang w:val="nl-NL"/>
        </w:rPr>
        <w:t xml:space="preserve">het </w:t>
      </w:r>
      <w:r w:rsidR="003C5AB4" w:rsidRPr="00BC74EF">
        <w:rPr>
          <w:lang w:val="nl-NL"/>
        </w:rPr>
        <w:t xml:space="preserve">resultaat van het genot van andere </w:t>
      </w:r>
      <w:r w:rsidR="00900DC0">
        <w:rPr>
          <w:lang w:val="nl-NL"/>
        </w:rPr>
        <w:t xml:space="preserve">in het Verdrag vastgelegde </w:t>
      </w:r>
      <w:r w:rsidR="003C5AB4" w:rsidRPr="00BC74EF">
        <w:rPr>
          <w:lang w:val="nl-NL"/>
        </w:rPr>
        <w:t xml:space="preserve">rechten, </w:t>
      </w:r>
      <w:r w:rsidR="00DC45A6" w:rsidRPr="00BC74EF">
        <w:rPr>
          <w:lang w:val="nl-NL"/>
        </w:rPr>
        <w:t xml:space="preserve">zoals </w:t>
      </w:r>
      <w:r w:rsidR="003C5AB4" w:rsidRPr="00BC74EF">
        <w:rPr>
          <w:lang w:val="nl-NL"/>
        </w:rPr>
        <w:t xml:space="preserve">het recht op een </w:t>
      </w:r>
      <w:r w:rsidR="00900DC0">
        <w:rPr>
          <w:lang w:val="nl-NL"/>
        </w:rPr>
        <w:t>behoorlijke</w:t>
      </w:r>
      <w:r w:rsidR="003C5AB4" w:rsidRPr="00BC74EF">
        <w:rPr>
          <w:lang w:val="nl-NL"/>
        </w:rPr>
        <w:t xml:space="preserve"> levensstandaard (art</w:t>
      </w:r>
      <w:r w:rsidR="00DC45A6" w:rsidRPr="00BC74EF">
        <w:rPr>
          <w:lang w:val="nl-NL"/>
        </w:rPr>
        <w:t xml:space="preserve">. </w:t>
      </w:r>
      <w:r w:rsidR="003C5AB4" w:rsidRPr="00BC74EF">
        <w:rPr>
          <w:lang w:val="nl-NL"/>
        </w:rPr>
        <w:t>28) door middel van een behoorlijke beloning.</w:t>
      </w:r>
      <w:r w:rsidR="003C5AB4" w:rsidRPr="00BC74EF">
        <w:rPr>
          <w:rStyle w:val="Voetnootmarkering"/>
          <w:lang w:val="nl-NL"/>
        </w:rPr>
        <w:footnoteReference w:id="25"/>
      </w:r>
    </w:p>
    <w:p w14:paraId="7A0EA416" w14:textId="153A37C6" w:rsidR="00F6202B" w:rsidRPr="00BC74EF" w:rsidRDefault="006D79AC">
      <w:pPr>
        <w:pStyle w:val="SingleTxtG"/>
        <w:tabs>
          <w:tab w:val="clear" w:pos="2268"/>
        </w:tabs>
        <w:rPr>
          <w:lang w:val="nl-NL"/>
        </w:rPr>
      </w:pPr>
      <w:r w:rsidRPr="00BC74EF">
        <w:rPr>
          <w:lang w:val="nl-NL"/>
        </w:rPr>
        <w:t>2</w:t>
      </w:r>
      <w:r w:rsidR="00792FF6">
        <w:rPr>
          <w:lang w:val="nl-NL"/>
        </w:rPr>
        <w:t>6</w:t>
      </w:r>
      <w:r w:rsidRPr="00BC74EF">
        <w:rPr>
          <w:lang w:val="nl-NL"/>
        </w:rPr>
        <w:t>.</w:t>
      </w:r>
      <w:r w:rsidRPr="00BC74EF">
        <w:rPr>
          <w:lang w:val="nl-NL"/>
        </w:rPr>
        <w:tab/>
      </w:r>
      <w:r w:rsidR="003C5AB4" w:rsidRPr="00BC74EF">
        <w:rPr>
          <w:lang w:val="nl-NL"/>
        </w:rPr>
        <w:t xml:space="preserve">Het recht op rechtvaardige en gunstige arbeidsvoorwaarden </w:t>
      </w:r>
      <w:r w:rsidR="00900DC0">
        <w:rPr>
          <w:lang w:val="nl-NL"/>
        </w:rPr>
        <w:t>wordt toegekend aan</w:t>
      </w:r>
      <w:r w:rsidR="003C5AB4" w:rsidRPr="00BC74EF">
        <w:rPr>
          <w:lang w:val="nl-NL"/>
        </w:rPr>
        <w:t xml:space="preserve"> alle werknemers met een handicap in alle omstandigheden, ongeacht hun handicap</w:t>
      </w:r>
      <w:r w:rsidR="000814A5" w:rsidRPr="00BC74EF">
        <w:rPr>
          <w:lang w:val="nl-NL"/>
        </w:rPr>
        <w:t xml:space="preserve">, </w:t>
      </w:r>
      <w:r w:rsidR="003C5AB4" w:rsidRPr="00BC74EF">
        <w:rPr>
          <w:lang w:val="nl-NL"/>
        </w:rPr>
        <w:t xml:space="preserve">geslacht, </w:t>
      </w:r>
      <w:r w:rsidR="000814A5" w:rsidRPr="00BC74EF">
        <w:rPr>
          <w:lang w:val="nl-NL"/>
        </w:rPr>
        <w:t>leeftijd, culturele of taalkundige achtergrond of hun migra</w:t>
      </w:r>
      <w:r w:rsidR="00900DC0">
        <w:rPr>
          <w:lang w:val="nl-NL"/>
        </w:rPr>
        <w:t>tie</w:t>
      </w:r>
      <w:r w:rsidR="000814A5" w:rsidRPr="00BC74EF">
        <w:rPr>
          <w:lang w:val="nl-NL"/>
        </w:rPr>
        <w:t xml:space="preserve">status, en ongeacht of zij werkzaam zijn </w:t>
      </w:r>
      <w:r w:rsidR="003C5AB4" w:rsidRPr="00BC74EF">
        <w:rPr>
          <w:lang w:val="nl-NL"/>
        </w:rPr>
        <w:t xml:space="preserve">in de formele of de informele sector, </w:t>
      </w:r>
      <w:r w:rsidR="000814A5" w:rsidRPr="00BC74EF">
        <w:rPr>
          <w:lang w:val="nl-NL"/>
        </w:rPr>
        <w:t>als zelfstandige of</w:t>
      </w:r>
      <w:r w:rsidR="00900DC0">
        <w:rPr>
          <w:lang w:val="nl-NL"/>
        </w:rPr>
        <w:t xml:space="preserve"> in loondienst,</w:t>
      </w:r>
      <w:r w:rsidR="000814A5" w:rsidRPr="00BC74EF">
        <w:rPr>
          <w:lang w:val="nl-NL"/>
        </w:rPr>
        <w:t xml:space="preserve"> in de landbouwsector of in </w:t>
      </w:r>
      <w:r w:rsidR="003C5AB4" w:rsidRPr="00BC74EF">
        <w:rPr>
          <w:lang w:val="nl-NL"/>
        </w:rPr>
        <w:t xml:space="preserve">plattelands- en afgelegen </w:t>
      </w:r>
      <w:r w:rsidR="000814A5" w:rsidRPr="00BC74EF">
        <w:rPr>
          <w:lang w:val="nl-NL"/>
        </w:rPr>
        <w:t>gebieden</w:t>
      </w:r>
      <w:r w:rsidR="003C5AB4" w:rsidRPr="00BC74EF">
        <w:rPr>
          <w:lang w:val="nl-NL"/>
        </w:rPr>
        <w:t>.</w:t>
      </w:r>
      <w:r w:rsidR="003C5AB4" w:rsidRPr="00BC74EF">
        <w:rPr>
          <w:rStyle w:val="Voetnootmarkering"/>
          <w:lang w:val="nl-NL"/>
        </w:rPr>
        <w:footnoteReference w:id="26"/>
      </w:r>
      <w:r w:rsidR="003C5AB4" w:rsidRPr="00BC74EF">
        <w:rPr>
          <w:lang w:val="nl-NL"/>
        </w:rPr>
        <w:t xml:space="preserve"> Voorts </w:t>
      </w:r>
      <w:r w:rsidR="00900DC0">
        <w:rPr>
          <w:lang w:val="nl-NL"/>
        </w:rPr>
        <w:t>impliceert</w:t>
      </w:r>
      <w:r w:rsidR="003C5AB4" w:rsidRPr="00BC74EF">
        <w:rPr>
          <w:lang w:val="nl-NL"/>
        </w:rPr>
        <w:t xml:space="preserve"> het recht op rechtvaardige en gunstige arbeidsvoorwaarden dat betaling onder </w:t>
      </w:r>
      <w:r w:rsidR="000814A5" w:rsidRPr="00BC74EF">
        <w:rPr>
          <w:lang w:val="nl-NL"/>
        </w:rPr>
        <w:t xml:space="preserve">het </w:t>
      </w:r>
      <w:r w:rsidR="003C5AB4" w:rsidRPr="00BC74EF">
        <w:rPr>
          <w:lang w:val="nl-NL"/>
        </w:rPr>
        <w:t xml:space="preserve">minimumloon op grond van een handicap </w:t>
      </w:r>
      <w:r w:rsidR="00EF2AE3" w:rsidRPr="00BC74EF">
        <w:rPr>
          <w:lang w:val="nl-NL"/>
        </w:rPr>
        <w:t xml:space="preserve">in geen geval </w:t>
      </w:r>
      <w:r w:rsidR="00900DC0">
        <w:rPr>
          <w:lang w:val="nl-NL"/>
        </w:rPr>
        <w:t>toegelaten is</w:t>
      </w:r>
      <w:r w:rsidR="003C5AB4" w:rsidRPr="00BC74EF">
        <w:rPr>
          <w:lang w:val="nl-NL"/>
        </w:rPr>
        <w:t>.</w:t>
      </w:r>
    </w:p>
    <w:p w14:paraId="1EB9CF1D" w14:textId="393F1DD2" w:rsidR="00F6202B" w:rsidRPr="00BC74EF" w:rsidRDefault="002755DB">
      <w:pPr>
        <w:pStyle w:val="SingleTxtG"/>
        <w:tabs>
          <w:tab w:val="clear" w:pos="2268"/>
        </w:tabs>
        <w:rPr>
          <w:lang w:val="nl-NL"/>
        </w:rPr>
      </w:pPr>
      <w:r w:rsidRPr="00BC74EF">
        <w:rPr>
          <w:lang w:val="nl-NL"/>
        </w:rPr>
        <w:t>2</w:t>
      </w:r>
      <w:r w:rsidR="00792FF6">
        <w:rPr>
          <w:lang w:val="nl-NL"/>
        </w:rPr>
        <w:t>7</w:t>
      </w:r>
      <w:r w:rsidR="0006414B" w:rsidRPr="00BC74EF">
        <w:rPr>
          <w:lang w:val="nl-NL"/>
        </w:rPr>
        <w:t>.</w:t>
      </w:r>
      <w:r w:rsidR="0006414B" w:rsidRPr="00BC74EF">
        <w:rPr>
          <w:lang w:val="nl-NL"/>
        </w:rPr>
        <w:tab/>
      </w:r>
      <w:r w:rsidR="00FF34DA">
        <w:rPr>
          <w:lang w:val="nl-NL"/>
        </w:rPr>
        <w:t>Eerlijke</w:t>
      </w:r>
      <w:r w:rsidR="003C5AB4" w:rsidRPr="00BC74EF">
        <w:rPr>
          <w:lang w:val="nl-NL"/>
        </w:rPr>
        <w:t xml:space="preserve"> en gunstige arbeidsvoorwaarden voor</w:t>
      </w:r>
      <w:r w:rsidR="00FF34DA">
        <w:rPr>
          <w:lang w:val="nl-NL"/>
        </w:rPr>
        <w:t xml:space="preserve"> personen met een handicap </w:t>
      </w:r>
      <w:r w:rsidR="003C5AB4" w:rsidRPr="00BC74EF">
        <w:rPr>
          <w:lang w:val="nl-NL"/>
        </w:rPr>
        <w:t xml:space="preserve">omvatten de voordelen en beschermingen </w:t>
      </w:r>
      <w:r w:rsidR="000814A5" w:rsidRPr="00BC74EF">
        <w:rPr>
          <w:lang w:val="nl-NL"/>
        </w:rPr>
        <w:t xml:space="preserve">die </w:t>
      </w:r>
      <w:r w:rsidR="003C5AB4" w:rsidRPr="00BC74EF">
        <w:rPr>
          <w:lang w:val="nl-NL"/>
        </w:rPr>
        <w:t>andere werknemers genieten</w:t>
      </w:r>
      <w:r w:rsidR="000814A5" w:rsidRPr="00BC74EF">
        <w:rPr>
          <w:lang w:val="nl-NL"/>
        </w:rPr>
        <w:t xml:space="preserve">, </w:t>
      </w:r>
      <w:r w:rsidR="003C5AB4" w:rsidRPr="00BC74EF">
        <w:rPr>
          <w:lang w:val="nl-NL"/>
        </w:rPr>
        <w:t xml:space="preserve">zoals </w:t>
      </w:r>
      <w:r w:rsidR="00517EB9" w:rsidRPr="00BC74EF">
        <w:rPr>
          <w:lang w:val="nl-NL"/>
        </w:rPr>
        <w:t xml:space="preserve">een </w:t>
      </w:r>
      <w:r w:rsidR="00E513EF">
        <w:rPr>
          <w:lang w:val="nl-NL"/>
        </w:rPr>
        <w:t>ouderdomspensioen</w:t>
      </w:r>
      <w:r w:rsidR="003C5AB4" w:rsidRPr="00BC74EF">
        <w:rPr>
          <w:lang w:val="nl-NL"/>
        </w:rPr>
        <w:t xml:space="preserve">, ziekteverlof, </w:t>
      </w:r>
      <w:r w:rsidR="00E513EF">
        <w:rPr>
          <w:lang w:val="nl-NL"/>
        </w:rPr>
        <w:t xml:space="preserve">langdurig </w:t>
      </w:r>
      <w:r w:rsidR="003C5AB4" w:rsidRPr="00BC74EF">
        <w:rPr>
          <w:lang w:val="nl-NL"/>
        </w:rPr>
        <w:t xml:space="preserve">verlof, ouderschapsverlof, </w:t>
      </w:r>
      <w:r w:rsidR="00E513EF">
        <w:rPr>
          <w:lang w:val="nl-NL"/>
        </w:rPr>
        <w:t>bevordering</w:t>
      </w:r>
      <w:r w:rsidR="003C5AB4" w:rsidRPr="00BC74EF">
        <w:rPr>
          <w:lang w:val="nl-NL"/>
        </w:rPr>
        <w:t>, rust, vrije tijd en periodiek</w:t>
      </w:r>
      <w:r w:rsidR="00E513EF">
        <w:rPr>
          <w:lang w:val="nl-NL"/>
        </w:rPr>
        <w:t xml:space="preserve"> betaald verlof</w:t>
      </w:r>
      <w:r w:rsidR="003C5AB4" w:rsidRPr="00BC74EF">
        <w:rPr>
          <w:lang w:val="nl-NL"/>
        </w:rPr>
        <w:t>.</w:t>
      </w:r>
      <w:r w:rsidR="003C5AB4" w:rsidRPr="00BC74EF">
        <w:rPr>
          <w:rStyle w:val="Voetnootmarkering"/>
          <w:lang w:val="nl-NL"/>
        </w:rPr>
        <w:footnoteReference w:id="27"/>
      </w:r>
    </w:p>
    <w:p w14:paraId="594B4D65" w14:textId="38A53CD2" w:rsidR="00F6202B" w:rsidRPr="00BC74EF" w:rsidRDefault="002755DB">
      <w:pPr>
        <w:pStyle w:val="SingleTxtG"/>
        <w:tabs>
          <w:tab w:val="clear" w:pos="2268"/>
        </w:tabs>
        <w:rPr>
          <w:lang w:val="nl-NL"/>
        </w:rPr>
      </w:pPr>
      <w:r w:rsidRPr="00BC74EF">
        <w:rPr>
          <w:lang w:val="nl-NL"/>
        </w:rPr>
        <w:t>2</w:t>
      </w:r>
      <w:r w:rsidR="00AE79AD">
        <w:rPr>
          <w:lang w:val="nl-NL"/>
        </w:rPr>
        <w:t>8</w:t>
      </w:r>
      <w:r w:rsidR="0006414B" w:rsidRPr="00BC74EF">
        <w:rPr>
          <w:lang w:val="nl-NL"/>
        </w:rPr>
        <w:t>.</w:t>
      </w:r>
      <w:r w:rsidR="0006414B" w:rsidRPr="00BC74EF">
        <w:rPr>
          <w:lang w:val="nl-NL"/>
        </w:rPr>
        <w:tab/>
      </w:r>
      <w:r w:rsidR="003C5AB4" w:rsidRPr="00BC74EF">
        <w:rPr>
          <w:lang w:val="nl-NL"/>
        </w:rPr>
        <w:t xml:space="preserve">Werknemers met een handicap hebben recht op </w:t>
      </w:r>
      <w:r w:rsidR="00E513EF">
        <w:rPr>
          <w:lang w:val="nl-NL"/>
        </w:rPr>
        <w:t>gelijke</w:t>
      </w:r>
      <w:r w:rsidR="003C5AB4" w:rsidRPr="00BC74EF">
        <w:rPr>
          <w:lang w:val="nl-NL"/>
        </w:rPr>
        <w:t xml:space="preserve"> beloning </w:t>
      </w:r>
      <w:r w:rsidR="00E513EF">
        <w:rPr>
          <w:lang w:val="nl-NL"/>
        </w:rPr>
        <w:t xml:space="preserve">voor gelijk of soortgelijk werk als andere werknemers. </w:t>
      </w:r>
      <w:r w:rsidR="003C5AB4" w:rsidRPr="00BC74EF">
        <w:rPr>
          <w:lang w:val="nl-NL"/>
        </w:rPr>
        <w:t xml:space="preserve">Voorts dient hun beloning ook gelijk te zijn wanneer hun werk totaal verschillend is, maar niettemin van gelijke waarde. De </w:t>
      </w:r>
      <w:r w:rsidR="003001A8">
        <w:rPr>
          <w:lang w:val="nl-NL"/>
        </w:rPr>
        <w:t>Staten die Partij</w:t>
      </w:r>
      <w:r w:rsidR="00E415FB" w:rsidRPr="00BC74EF">
        <w:rPr>
          <w:lang w:val="nl-NL"/>
        </w:rPr>
        <w:t xml:space="preserve"> zijn dienen </w:t>
      </w:r>
      <w:r w:rsidR="003C5AB4" w:rsidRPr="00BC74EF">
        <w:rPr>
          <w:lang w:val="nl-NL"/>
        </w:rPr>
        <w:t xml:space="preserve">ervoor te zorgen dat </w:t>
      </w:r>
      <w:r w:rsidR="00E513EF">
        <w:rPr>
          <w:lang w:val="nl-NL"/>
        </w:rPr>
        <w:t>het afschaffen van gesegregeerd werk de werkgever niet ontslaat van de verplichting om te zorgen voor</w:t>
      </w:r>
      <w:r w:rsidR="003C5AB4" w:rsidRPr="00BC74EF">
        <w:rPr>
          <w:lang w:val="nl-NL"/>
        </w:rPr>
        <w:t xml:space="preserve"> </w:t>
      </w:r>
      <w:r w:rsidR="00465FE5" w:rsidRPr="00BC74EF">
        <w:rPr>
          <w:lang w:val="nl-NL"/>
        </w:rPr>
        <w:t xml:space="preserve">gelijke beloning voor </w:t>
      </w:r>
      <w:r w:rsidR="00E513EF">
        <w:rPr>
          <w:lang w:val="nl-NL"/>
        </w:rPr>
        <w:t xml:space="preserve">gelijkwaardig </w:t>
      </w:r>
      <w:r w:rsidR="00465FE5" w:rsidRPr="00BC74EF">
        <w:rPr>
          <w:lang w:val="nl-NL"/>
        </w:rPr>
        <w:t xml:space="preserve">werk. </w:t>
      </w:r>
    </w:p>
    <w:p w14:paraId="38E50EEF" w14:textId="353926AC" w:rsidR="00F6202B" w:rsidRPr="00BC74EF" w:rsidRDefault="002755DB">
      <w:pPr>
        <w:pStyle w:val="SingleTxtG"/>
        <w:tabs>
          <w:tab w:val="clear" w:pos="2268"/>
        </w:tabs>
        <w:rPr>
          <w:lang w:val="nl-NL"/>
        </w:rPr>
      </w:pPr>
      <w:r w:rsidRPr="00BC74EF">
        <w:rPr>
          <w:lang w:val="nl-NL"/>
        </w:rPr>
        <w:t>2</w:t>
      </w:r>
      <w:r w:rsidR="00AE79AD">
        <w:rPr>
          <w:lang w:val="nl-NL"/>
        </w:rPr>
        <w:t>9</w:t>
      </w:r>
      <w:r w:rsidR="0006414B" w:rsidRPr="00BC74EF">
        <w:rPr>
          <w:lang w:val="nl-NL"/>
        </w:rPr>
        <w:t>.</w:t>
      </w:r>
      <w:r w:rsidR="0006414B" w:rsidRPr="00BC74EF">
        <w:rPr>
          <w:lang w:val="nl-NL"/>
        </w:rPr>
        <w:tab/>
      </w:r>
      <w:r w:rsidR="003C5AB4" w:rsidRPr="00BC74EF">
        <w:rPr>
          <w:lang w:val="nl-NL"/>
        </w:rPr>
        <w:t xml:space="preserve">Het recht op een veilige en gezonde werkomgeving </w:t>
      </w:r>
      <w:r w:rsidR="006077AC">
        <w:rPr>
          <w:lang w:val="nl-NL"/>
        </w:rPr>
        <w:t>veronderstelt</w:t>
      </w:r>
      <w:r w:rsidR="00526DD0" w:rsidRPr="00BC74EF">
        <w:rPr>
          <w:lang w:val="nl-NL"/>
        </w:rPr>
        <w:t xml:space="preserve"> </w:t>
      </w:r>
      <w:r w:rsidR="003C5AB4" w:rsidRPr="00BC74EF">
        <w:rPr>
          <w:lang w:val="nl-NL"/>
        </w:rPr>
        <w:t xml:space="preserve">een </w:t>
      </w:r>
      <w:r w:rsidR="00AE79AD">
        <w:rPr>
          <w:lang w:val="nl-NL"/>
        </w:rPr>
        <w:t xml:space="preserve">coherent </w:t>
      </w:r>
      <w:r w:rsidR="003C5AB4" w:rsidRPr="00BC74EF">
        <w:rPr>
          <w:lang w:val="nl-NL"/>
        </w:rPr>
        <w:t>nationaal beleid inzake gezondheid op het werk</w:t>
      </w:r>
      <w:r w:rsidR="006077AC">
        <w:rPr>
          <w:lang w:val="nl-NL"/>
        </w:rPr>
        <w:t xml:space="preserve"> dat ook </w:t>
      </w:r>
      <w:r w:rsidR="00517EB9" w:rsidRPr="00BC74EF">
        <w:rPr>
          <w:lang w:val="nl-NL"/>
        </w:rPr>
        <w:t xml:space="preserve">werknemers met </w:t>
      </w:r>
      <w:r w:rsidR="003C5AB4" w:rsidRPr="00BC74EF">
        <w:rPr>
          <w:lang w:val="nl-NL"/>
        </w:rPr>
        <w:t>een handicap</w:t>
      </w:r>
      <w:r w:rsidR="000F5DE7">
        <w:rPr>
          <w:lang w:val="nl-NL"/>
        </w:rPr>
        <w:t xml:space="preserve"> omvat</w:t>
      </w:r>
      <w:r w:rsidR="003C5AB4" w:rsidRPr="00BC74EF">
        <w:rPr>
          <w:lang w:val="nl-NL"/>
        </w:rPr>
        <w:t xml:space="preserve">. </w:t>
      </w:r>
      <w:r w:rsidR="006077AC">
        <w:rPr>
          <w:lang w:val="nl-NL"/>
        </w:rPr>
        <w:t>Een</w:t>
      </w:r>
      <w:r w:rsidR="00526DD0" w:rsidRPr="00BC74EF">
        <w:rPr>
          <w:lang w:val="nl-NL"/>
        </w:rPr>
        <w:t xml:space="preserve"> dergelijk </w:t>
      </w:r>
      <w:r w:rsidR="003C5AB4" w:rsidRPr="00BC74EF">
        <w:rPr>
          <w:lang w:val="nl-NL"/>
        </w:rPr>
        <w:t xml:space="preserve">beleid </w:t>
      </w:r>
      <w:r w:rsidR="006077AC">
        <w:rPr>
          <w:lang w:val="nl-NL"/>
        </w:rPr>
        <w:t xml:space="preserve">moet erop gericht zijn </w:t>
      </w:r>
      <w:r w:rsidR="003C5AB4" w:rsidRPr="00BC74EF">
        <w:rPr>
          <w:lang w:val="nl-NL"/>
        </w:rPr>
        <w:t xml:space="preserve">ongevallen en </w:t>
      </w:r>
      <w:r w:rsidR="00526DD0" w:rsidRPr="00BC74EF">
        <w:rPr>
          <w:lang w:val="nl-NL"/>
        </w:rPr>
        <w:t xml:space="preserve">letsels </w:t>
      </w:r>
      <w:r w:rsidR="00AE79AD">
        <w:rPr>
          <w:lang w:val="nl-NL"/>
        </w:rPr>
        <w:t xml:space="preserve">te voorkomen </w:t>
      </w:r>
      <w:r w:rsidR="003C5AB4" w:rsidRPr="00BC74EF">
        <w:rPr>
          <w:lang w:val="nl-NL"/>
        </w:rPr>
        <w:t xml:space="preserve">die voortvloeien </w:t>
      </w:r>
      <w:r w:rsidR="00526DD0" w:rsidRPr="00BC74EF">
        <w:rPr>
          <w:lang w:val="nl-NL"/>
        </w:rPr>
        <w:t>uit</w:t>
      </w:r>
      <w:r w:rsidR="003C5AB4" w:rsidRPr="00BC74EF">
        <w:rPr>
          <w:lang w:val="nl-NL"/>
        </w:rPr>
        <w:t xml:space="preserve">, verband houden met of zich voordoen </w:t>
      </w:r>
      <w:r w:rsidR="00526DD0" w:rsidRPr="00BC74EF">
        <w:rPr>
          <w:lang w:val="nl-NL"/>
        </w:rPr>
        <w:t xml:space="preserve">tijdens </w:t>
      </w:r>
      <w:r w:rsidR="003C5AB4" w:rsidRPr="00BC74EF">
        <w:rPr>
          <w:lang w:val="nl-NL"/>
        </w:rPr>
        <w:t xml:space="preserve">het werk. Het beleid moet </w:t>
      </w:r>
      <w:r w:rsidR="00526DD0" w:rsidRPr="00BC74EF">
        <w:rPr>
          <w:lang w:val="nl-NL"/>
        </w:rPr>
        <w:t xml:space="preserve">betrekking hebben op </w:t>
      </w:r>
      <w:r w:rsidR="003C5AB4" w:rsidRPr="00BC74EF">
        <w:rPr>
          <w:lang w:val="nl-NL"/>
        </w:rPr>
        <w:t>de bescherming van alle werknemers</w:t>
      </w:r>
      <w:r w:rsidR="00517EB9" w:rsidRPr="00BC74EF">
        <w:rPr>
          <w:lang w:val="nl-NL"/>
        </w:rPr>
        <w:t xml:space="preserve">, ook die </w:t>
      </w:r>
      <w:r w:rsidR="003C5AB4" w:rsidRPr="00BC74EF">
        <w:rPr>
          <w:lang w:val="nl-NL"/>
        </w:rPr>
        <w:t>met een handicap</w:t>
      </w:r>
      <w:r w:rsidR="00526DD0" w:rsidRPr="00BC74EF">
        <w:rPr>
          <w:lang w:val="nl-NL"/>
        </w:rPr>
        <w:t xml:space="preserve">, </w:t>
      </w:r>
      <w:r w:rsidR="00517EB9" w:rsidRPr="00BC74EF">
        <w:rPr>
          <w:lang w:val="nl-NL"/>
        </w:rPr>
        <w:t xml:space="preserve">en </w:t>
      </w:r>
      <w:r w:rsidR="00526DD0" w:rsidRPr="00BC74EF">
        <w:rPr>
          <w:lang w:val="nl-NL"/>
        </w:rPr>
        <w:t xml:space="preserve">ook </w:t>
      </w:r>
      <w:r w:rsidR="003C5AB4" w:rsidRPr="00BC74EF">
        <w:rPr>
          <w:lang w:val="nl-NL"/>
        </w:rPr>
        <w:t xml:space="preserve">die </w:t>
      </w:r>
      <w:r w:rsidR="00526DD0" w:rsidRPr="00BC74EF">
        <w:rPr>
          <w:lang w:val="nl-NL"/>
        </w:rPr>
        <w:t xml:space="preserve">met </w:t>
      </w:r>
      <w:r w:rsidR="000F5DE7">
        <w:rPr>
          <w:lang w:val="nl-NL"/>
        </w:rPr>
        <w:t>een kort- of langlopende arbeidsovereenkomst</w:t>
      </w:r>
      <w:r w:rsidR="00526DD0" w:rsidRPr="00BC74EF">
        <w:rPr>
          <w:lang w:val="nl-NL"/>
        </w:rPr>
        <w:t xml:space="preserve">, </w:t>
      </w:r>
      <w:r w:rsidR="003C5AB4" w:rsidRPr="00BC74EF">
        <w:rPr>
          <w:lang w:val="nl-NL"/>
        </w:rPr>
        <w:t>deeltijdwerk</w:t>
      </w:r>
      <w:r w:rsidR="00AE79AD">
        <w:rPr>
          <w:lang w:val="nl-NL"/>
        </w:rPr>
        <w:t>ers</w:t>
      </w:r>
      <w:r w:rsidR="003C5AB4" w:rsidRPr="00BC74EF">
        <w:rPr>
          <w:lang w:val="nl-NL"/>
        </w:rPr>
        <w:t xml:space="preserve">, </w:t>
      </w:r>
      <w:r w:rsidR="00526DD0" w:rsidRPr="00BC74EF">
        <w:rPr>
          <w:lang w:val="nl-NL"/>
        </w:rPr>
        <w:t>leerlingen</w:t>
      </w:r>
      <w:r w:rsidR="003C5AB4" w:rsidRPr="00BC74EF">
        <w:rPr>
          <w:lang w:val="nl-NL"/>
        </w:rPr>
        <w:t xml:space="preserve">, zelfstandigen, migrerende werknemers of </w:t>
      </w:r>
      <w:r w:rsidR="00526DD0" w:rsidRPr="00BC74EF">
        <w:rPr>
          <w:lang w:val="nl-NL"/>
        </w:rPr>
        <w:t xml:space="preserve">werknemers </w:t>
      </w:r>
      <w:r w:rsidR="003C5AB4" w:rsidRPr="00BC74EF">
        <w:rPr>
          <w:lang w:val="nl-NL"/>
        </w:rPr>
        <w:t xml:space="preserve">in de informele sector. </w:t>
      </w:r>
      <w:r w:rsidR="000F5DE7">
        <w:rPr>
          <w:lang w:val="nl-NL"/>
        </w:rPr>
        <w:t>O</w:t>
      </w:r>
      <w:r w:rsidR="003C5AB4" w:rsidRPr="00BC74EF">
        <w:rPr>
          <w:lang w:val="nl-NL"/>
        </w:rPr>
        <w:t>rganisaties</w:t>
      </w:r>
      <w:r w:rsidR="000F5DE7">
        <w:rPr>
          <w:lang w:val="nl-NL"/>
        </w:rPr>
        <w:t xml:space="preserve"> voor personen met een handicap</w:t>
      </w:r>
      <w:r w:rsidR="003C5AB4" w:rsidRPr="00BC74EF">
        <w:rPr>
          <w:lang w:val="nl-NL"/>
        </w:rPr>
        <w:t xml:space="preserve"> </w:t>
      </w:r>
      <w:r w:rsidR="00AE79AD">
        <w:rPr>
          <w:lang w:val="nl-NL"/>
        </w:rPr>
        <w:t>moeten worden betrokken bij</w:t>
      </w:r>
      <w:r w:rsidR="003C5AB4" w:rsidRPr="00BC74EF">
        <w:rPr>
          <w:lang w:val="nl-NL"/>
        </w:rPr>
        <w:t xml:space="preserve"> de formulering, uitvoering en evaluatie van het nationa</w:t>
      </w:r>
      <w:r w:rsidR="00AE79AD">
        <w:rPr>
          <w:lang w:val="nl-NL"/>
        </w:rPr>
        <w:t>al</w:t>
      </w:r>
      <w:r w:rsidR="003C5AB4" w:rsidRPr="00BC74EF">
        <w:rPr>
          <w:lang w:val="nl-NL"/>
        </w:rPr>
        <w:t xml:space="preserve"> beleid </w:t>
      </w:r>
      <w:r w:rsidR="00EF2AE3" w:rsidRPr="00BC74EF">
        <w:rPr>
          <w:lang w:val="nl-NL"/>
        </w:rPr>
        <w:t xml:space="preserve">om ervoor te zorgen dat </w:t>
      </w:r>
      <w:r w:rsidR="000F5DE7">
        <w:rPr>
          <w:lang w:val="nl-NL"/>
        </w:rPr>
        <w:t xml:space="preserve">dit beleid </w:t>
      </w:r>
      <w:r w:rsidR="00EF2AE3" w:rsidRPr="00BC74EF">
        <w:rPr>
          <w:lang w:val="nl-NL"/>
        </w:rPr>
        <w:t>geen discriminatie mogelijk maakt.</w:t>
      </w:r>
    </w:p>
    <w:p w14:paraId="467AA83D" w14:textId="57C59753" w:rsidR="00F6202B" w:rsidRPr="00BC74EF" w:rsidRDefault="00AE79AD">
      <w:pPr>
        <w:pStyle w:val="SingleTxtG"/>
        <w:tabs>
          <w:tab w:val="clear" w:pos="2268"/>
        </w:tabs>
        <w:rPr>
          <w:lang w:val="nl-NL"/>
        </w:rPr>
      </w:pPr>
      <w:r>
        <w:rPr>
          <w:lang w:val="nl-NL"/>
        </w:rPr>
        <w:t>30</w:t>
      </w:r>
      <w:r w:rsidR="0006414B" w:rsidRPr="00BC74EF">
        <w:rPr>
          <w:lang w:val="nl-NL"/>
        </w:rPr>
        <w:t>.</w:t>
      </w:r>
      <w:r w:rsidR="0006414B" w:rsidRPr="00BC74EF">
        <w:rPr>
          <w:lang w:val="nl-NL"/>
        </w:rPr>
        <w:tab/>
      </w:r>
      <w:r>
        <w:rPr>
          <w:lang w:val="nl-NL"/>
        </w:rPr>
        <w:t>H</w:t>
      </w:r>
      <w:r w:rsidR="003C5AB4" w:rsidRPr="00BC74EF">
        <w:rPr>
          <w:lang w:val="nl-NL"/>
        </w:rPr>
        <w:t xml:space="preserve">et Comité </w:t>
      </w:r>
      <w:r>
        <w:rPr>
          <w:lang w:val="nl-NL"/>
        </w:rPr>
        <w:t xml:space="preserve">herinnert aan </w:t>
      </w:r>
      <w:r w:rsidR="00770984" w:rsidRPr="00BC74EF">
        <w:rPr>
          <w:lang w:val="nl-NL"/>
        </w:rPr>
        <w:t xml:space="preserve"> zijn </w:t>
      </w:r>
      <w:r w:rsidR="003C5AB4" w:rsidRPr="00BC74EF">
        <w:rPr>
          <w:lang w:val="nl-NL"/>
        </w:rPr>
        <w:t>jurisprudentie</w:t>
      </w:r>
      <w:r w:rsidR="00770984" w:rsidRPr="00BC74EF">
        <w:rPr>
          <w:lang w:val="nl-NL"/>
        </w:rPr>
        <w:t xml:space="preserve">, </w:t>
      </w:r>
      <w:r>
        <w:rPr>
          <w:lang w:val="nl-NL"/>
        </w:rPr>
        <w:t xml:space="preserve">waarin wordt aangestipt dat </w:t>
      </w:r>
      <w:r w:rsidR="00770984" w:rsidRPr="00BC74EF">
        <w:rPr>
          <w:lang w:val="nl-NL"/>
        </w:rPr>
        <w:t xml:space="preserve">de bescherming tegen </w:t>
      </w:r>
      <w:r w:rsidR="003C5AB4" w:rsidRPr="00BC74EF">
        <w:rPr>
          <w:lang w:val="nl-NL"/>
        </w:rPr>
        <w:t xml:space="preserve">intimidatie </w:t>
      </w:r>
      <w:r w:rsidR="000F5DE7">
        <w:rPr>
          <w:lang w:val="nl-NL"/>
        </w:rPr>
        <w:t xml:space="preserve">in de context van </w:t>
      </w:r>
      <w:r w:rsidR="003C5AB4" w:rsidRPr="00BC74EF">
        <w:rPr>
          <w:lang w:val="nl-NL"/>
        </w:rPr>
        <w:t>werk en werkgelegenheid zich uit</w:t>
      </w:r>
      <w:r>
        <w:rPr>
          <w:lang w:val="nl-NL"/>
        </w:rPr>
        <w:t>strekt</w:t>
      </w:r>
      <w:r w:rsidR="003C5AB4" w:rsidRPr="00BC74EF">
        <w:rPr>
          <w:lang w:val="nl-NL"/>
        </w:rPr>
        <w:t xml:space="preserve"> over de </w:t>
      </w:r>
      <w:r w:rsidR="00770984" w:rsidRPr="00BC74EF">
        <w:rPr>
          <w:lang w:val="nl-NL"/>
        </w:rPr>
        <w:t xml:space="preserve">gehele </w:t>
      </w:r>
      <w:r w:rsidR="003C5AB4" w:rsidRPr="00BC74EF">
        <w:rPr>
          <w:iCs/>
          <w:lang w:val="nl-NL"/>
        </w:rPr>
        <w:t xml:space="preserve">arbeidscyclus en </w:t>
      </w:r>
      <w:r w:rsidR="000F5DE7">
        <w:rPr>
          <w:lang w:val="nl-NL"/>
        </w:rPr>
        <w:t>doeltreffende</w:t>
      </w:r>
      <w:r w:rsidR="003C5AB4" w:rsidRPr="00BC74EF">
        <w:rPr>
          <w:lang w:val="nl-NL"/>
        </w:rPr>
        <w:t xml:space="preserve"> remedies via de vaststelling en handhaving van specifieke en alomvattende antidiscriminatiewetgeving</w:t>
      </w:r>
      <w:r>
        <w:rPr>
          <w:lang w:val="nl-NL"/>
        </w:rPr>
        <w:t xml:space="preserve"> vereist</w:t>
      </w:r>
      <w:r w:rsidR="003C5AB4" w:rsidRPr="00BC74EF">
        <w:rPr>
          <w:lang w:val="nl-NL"/>
        </w:rPr>
        <w:t>.</w:t>
      </w:r>
      <w:r w:rsidR="003C5AB4" w:rsidRPr="00BC74EF">
        <w:rPr>
          <w:rStyle w:val="Voetnootmarkering"/>
          <w:lang w:val="nl-NL"/>
        </w:rPr>
        <w:footnoteReference w:id="28"/>
      </w:r>
      <w:r w:rsidR="003C5AB4" w:rsidRPr="00BC74EF">
        <w:rPr>
          <w:lang w:val="nl-NL"/>
        </w:rPr>
        <w:t xml:space="preserve"> De wetgeving moet vergezeld gaan van passende en doeltreffende rechtsmiddelen en sancties </w:t>
      </w:r>
      <w:r w:rsidR="000F5DE7">
        <w:rPr>
          <w:lang w:val="nl-NL"/>
        </w:rPr>
        <w:t>voor</w:t>
      </w:r>
      <w:r w:rsidR="003C5AB4" w:rsidRPr="00BC74EF">
        <w:rPr>
          <w:lang w:val="nl-NL"/>
        </w:rPr>
        <w:t xml:space="preserve"> discriminatie in civiele, administratieve en strafrechtelijke procedures. Individuele </w:t>
      </w:r>
      <w:r w:rsidR="000F5DE7">
        <w:rPr>
          <w:lang w:val="nl-NL"/>
        </w:rPr>
        <w:t>corrigerende maatregelen</w:t>
      </w:r>
      <w:r w:rsidR="003C5AB4" w:rsidRPr="00BC74EF">
        <w:rPr>
          <w:lang w:val="nl-NL"/>
        </w:rPr>
        <w:t xml:space="preserve"> moeten vergezeld gaan van effectieve veranderingen </w:t>
      </w:r>
      <w:r w:rsidR="00770984" w:rsidRPr="00BC74EF">
        <w:rPr>
          <w:lang w:val="nl-NL"/>
        </w:rPr>
        <w:t xml:space="preserve">op </w:t>
      </w:r>
      <w:r w:rsidR="003C5AB4" w:rsidRPr="00BC74EF">
        <w:rPr>
          <w:lang w:val="nl-NL"/>
        </w:rPr>
        <w:t xml:space="preserve">de werkplek </w:t>
      </w:r>
      <w:r w:rsidR="00770984" w:rsidRPr="00BC74EF">
        <w:rPr>
          <w:lang w:val="nl-NL"/>
        </w:rPr>
        <w:t xml:space="preserve">om </w:t>
      </w:r>
      <w:r w:rsidR="003C5AB4" w:rsidRPr="00BC74EF">
        <w:rPr>
          <w:lang w:val="nl-NL"/>
        </w:rPr>
        <w:t xml:space="preserve">toekomstige schendingen te voorkomen.  </w:t>
      </w:r>
    </w:p>
    <w:p w14:paraId="6A94F596" w14:textId="6C9DC802" w:rsidR="00F6202B" w:rsidRPr="00BC74EF" w:rsidRDefault="002755DB">
      <w:pPr>
        <w:pStyle w:val="H1G"/>
        <w:rPr>
          <w:lang w:val="nl-NL"/>
        </w:rPr>
      </w:pPr>
      <w:r w:rsidRPr="00BC74EF">
        <w:rPr>
          <w:lang w:val="nl-NL"/>
        </w:rPr>
        <w:tab/>
      </w:r>
      <w:r w:rsidR="00E65790" w:rsidRPr="00BC74EF">
        <w:rPr>
          <w:lang w:val="nl-NL"/>
        </w:rPr>
        <w:t>D.</w:t>
      </w:r>
      <w:r w:rsidRPr="00BC74EF">
        <w:rPr>
          <w:lang w:val="nl-NL"/>
        </w:rPr>
        <w:tab/>
      </w:r>
      <w:r w:rsidR="00357CBC">
        <w:rPr>
          <w:lang w:val="nl-NL"/>
        </w:rPr>
        <w:t>Beroeps</w:t>
      </w:r>
      <w:r w:rsidR="003C5AB4" w:rsidRPr="00BC74EF">
        <w:rPr>
          <w:lang w:val="nl-NL"/>
        </w:rPr>
        <w:t xml:space="preserve">- en vakbondsrechten </w:t>
      </w:r>
      <w:r w:rsidR="0011333D" w:rsidRPr="00BC74EF">
        <w:rPr>
          <w:lang w:val="nl-NL"/>
        </w:rPr>
        <w:t>(art</w:t>
      </w:r>
      <w:r w:rsidR="00357CBC">
        <w:rPr>
          <w:lang w:val="nl-NL"/>
        </w:rPr>
        <w:t>.</w:t>
      </w:r>
      <w:r w:rsidR="0011333D" w:rsidRPr="00BC74EF">
        <w:rPr>
          <w:lang w:val="nl-NL"/>
        </w:rPr>
        <w:t xml:space="preserve"> 27, lid 1, onder c))</w:t>
      </w:r>
    </w:p>
    <w:p w14:paraId="6F9E7BFE" w14:textId="2C1AF5BD" w:rsidR="00F6202B" w:rsidRPr="00BC74EF" w:rsidRDefault="006D79AC">
      <w:pPr>
        <w:pStyle w:val="SingleTxtG"/>
        <w:tabs>
          <w:tab w:val="clear" w:pos="2268"/>
        </w:tabs>
        <w:rPr>
          <w:lang w:val="nl-NL"/>
        </w:rPr>
      </w:pPr>
      <w:r w:rsidRPr="00BC74EF">
        <w:rPr>
          <w:lang w:val="nl-NL"/>
        </w:rPr>
        <w:t>3</w:t>
      </w:r>
      <w:r w:rsidR="00357CBC">
        <w:rPr>
          <w:lang w:val="nl-NL"/>
        </w:rPr>
        <w:t>1</w:t>
      </w:r>
      <w:r w:rsidRPr="00BC74EF">
        <w:rPr>
          <w:lang w:val="nl-NL"/>
        </w:rPr>
        <w:t>.</w:t>
      </w:r>
      <w:r w:rsidRPr="00BC74EF">
        <w:rPr>
          <w:lang w:val="nl-NL"/>
        </w:rPr>
        <w:tab/>
      </w:r>
      <w:r w:rsidR="003C5AB4" w:rsidRPr="00BC74EF">
        <w:rPr>
          <w:lang w:val="nl-NL"/>
        </w:rPr>
        <w:t xml:space="preserve">Vakbondsrechten, vrijheid van vereniging en het stakingsrecht zijn </w:t>
      </w:r>
      <w:r w:rsidR="00D10B2C">
        <w:rPr>
          <w:lang w:val="nl-NL"/>
        </w:rPr>
        <w:t>van cruciaal belang voor de totstandbrenging, handhaving en verdediging van r</w:t>
      </w:r>
      <w:r w:rsidR="003C5AB4" w:rsidRPr="00BC74EF">
        <w:rPr>
          <w:lang w:val="nl-NL"/>
        </w:rPr>
        <w:t xml:space="preserve">echtvaardige en gunstige arbeidsvoorwaarden. Vakbonden </w:t>
      </w:r>
      <w:r w:rsidR="00EF2AE3" w:rsidRPr="00BC74EF">
        <w:rPr>
          <w:lang w:val="nl-NL"/>
        </w:rPr>
        <w:t xml:space="preserve">dienen </w:t>
      </w:r>
      <w:r w:rsidR="00D10B2C">
        <w:rPr>
          <w:lang w:val="nl-NL"/>
        </w:rPr>
        <w:t xml:space="preserve">de volledige en zinvolle participatie van </w:t>
      </w:r>
      <w:r w:rsidR="00EF2AE3" w:rsidRPr="00BC74EF">
        <w:rPr>
          <w:lang w:val="nl-NL"/>
        </w:rPr>
        <w:t xml:space="preserve">personen met een handicap op voet van gelijkheid met anderen toe te laten, te aanvaarden en </w:t>
      </w:r>
      <w:r w:rsidR="00D10B2C">
        <w:rPr>
          <w:lang w:val="nl-NL"/>
        </w:rPr>
        <w:t xml:space="preserve">mogelijk </w:t>
      </w:r>
      <w:r w:rsidR="00D10B2C">
        <w:rPr>
          <w:lang w:val="nl-NL"/>
        </w:rPr>
        <w:lastRenderedPageBreak/>
        <w:t>te maken</w:t>
      </w:r>
      <w:r w:rsidR="00EF2AE3" w:rsidRPr="00BC74EF">
        <w:rPr>
          <w:lang w:val="nl-NL"/>
        </w:rPr>
        <w:t xml:space="preserve">. De vakbonden dienen </w:t>
      </w:r>
      <w:r w:rsidR="003C5AB4" w:rsidRPr="00BC74EF">
        <w:rPr>
          <w:lang w:val="nl-NL"/>
        </w:rPr>
        <w:t xml:space="preserve">een belangrijke rol te spelen bij de verdediging van het recht </w:t>
      </w:r>
      <w:r w:rsidR="00735BF6" w:rsidRPr="00BC74EF">
        <w:rPr>
          <w:lang w:val="nl-NL"/>
        </w:rPr>
        <w:t>van</w:t>
      </w:r>
      <w:r w:rsidR="00FF34DA">
        <w:rPr>
          <w:lang w:val="nl-NL"/>
        </w:rPr>
        <w:t xml:space="preserve"> personen met een handicap </w:t>
      </w:r>
      <w:r w:rsidR="00735BF6" w:rsidRPr="00BC74EF">
        <w:rPr>
          <w:lang w:val="nl-NL"/>
        </w:rPr>
        <w:t>op werk, met inbegrip van</w:t>
      </w:r>
      <w:r w:rsidR="00FF34DA">
        <w:rPr>
          <w:lang w:val="nl-NL"/>
        </w:rPr>
        <w:t xml:space="preserve"> personen met een handicap </w:t>
      </w:r>
      <w:r w:rsidR="003C5AB4" w:rsidRPr="00BC74EF">
        <w:rPr>
          <w:lang w:val="nl-NL"/>
        </w:rPr>
        <w:t xml:space="preserve">die </w:t>
      </w:r>
      <w:r w:rsidR="00EF2AE3" w:rsidRPr="00BC74EF">
        <w:rPr>
          <w:lang w:val="nl-NL"/>
        </w:rPr>
        <w:t xml:space="preserve">nog steeds </w:t>
      </w:r>
      <w:r w:rsidR="003C5AB4" w:rsidRPr="00BC74EF">
        <w:rPr>
          <w:lang w:val="nl-NL"/>
        </w:rPr>
        <w:t xml:space="preserve">in </w:t>
      </w:r>
      <w:r w:rsidR="00D10B2C">
        <w:rPr>
          <w:lang w:val="nl-NL"/>
        </w:rPr>
        <w:t xml:space="preserve">een </w:t>
      </w:r>
      <w:r w:rsidR="003C5AB4" w:rsidRPr="00BC74EF">
        <w:rPr>
          <w:lang w:val="nl-NL"/>
        </w:rPr>
        <w:t xml:space="preserve">gesegregeerde </w:t>
      </w:r>
      <w:r w:rsidR="00D10B2C">
        <w:rPr>
          <w:lang w:val="nl-NL"/>
        </w:rPr>
        <w:t>werkomgeving</w:t>
      </w:r>
      <w:r w:rsidR="003C5AB4" w:rsidRPr="00BC74EF">
        <w:rPr>
          <w:lang w:val="nl-NL"/>
        </w:rPr>
        <w:t xml:space="preserve"> werken. De </w:t>
      </w:r>
      <w:r w:rsidR="003001A8">
        <w:rPr>
          <w:lang w:val="nl-NL"/>
        </w:rPr>
        <w:t>Staten die Partij</w:t>
      </w:r>
      <w:r w:rsidR="00D10B2C">
        <w:rPr>
          <w:lang w:val="nl-NL"/>
        </w:rPr>
        <w:t xml:space="preserve"> zijn,</w:t>
      </w:r>
      <w:r w:rsidR="00E415FB" w:rsidRPr="00BC74EF">
        <w:rPr>
          <w:lang w:val="nl-NL"/>
        </w:rPr>
        <w:t xml:space="preserve"> </w:t>
      </w:r>
      <w:r w:rsidR="00735BF6" w:rsidRPr="00BC74EF">
        <w:rPr>
          <w:lang w:val="nl-NL"/>
        </w:rPr>
        <w:t xml:space="preserve">zijn </w:t>
      </w:r>
      <w:r w:rsidR="003C5AB4" w:rsidRPr="00BC74EF">
        <w:rPr>
          <w:lang w:val="nl-NL"/>
        </w:rPr>
        <w:t xml:space="preserve">verplicht het werk van mensenrechtenverdedigers </w:t>
      </w:r>
      <w:r w:rsidR="00735BF6" w:rsidRPr="00BC74EF">
        <w:rPr>
          <w:lang w:val="nl-NL"/>
        </w:rPr>
        <w:t xml:space="preserve">en andere </w:t>
      </w:r>
      <w:r w:rsidR="00D10B2C">
        <w:rPr>
          <w:lang w:val="nl-NL"/>
        </w:rPr>
        <w:t xml:space="preserve">actoren uit </w:t>
      </w:r>
      <w:r w:rsidR="00735BF6" w:rsidRPr="00BC74EF">
        <w:rPr>
          <w:lang w:val="nl-NL"/>
        </w:rPr>
        <w:t>het maatschappelijk middenveld</w:t>
      </w:r>
      <w:r w:rsidR="003C5AB4" w:rsidRPr="00BC74EF">
        <w:rPr>
          <w:lang w:val="nl-NL"/>
        </w:rPr>
        <w:t xml:space="preserve">, </w:t>
      </w:r>
      <w:r w:rsidR="00735BF6" w:rsidRPr="00BC74EF">
        <w:rPr>
          <w:lang w:val="nl-NL"/>
        </w:rPr>
        <w:t xml:space="preserve">met name </w:t>
      </w:r>
      <w:r w:rsidR="003C5AB4" w:rsidRPr="00BC74EF">
        <w:rPr>
          <w:lang w:val="nl-NL"/>
        </w:rPr>
        <w:t>vakbonden, die</w:t>
      </w:r>
      <w:r w:rsidR="00FF34DA">
        <w:rPr>
          <w:lang w:val="nl-NL"/>
        </w:rPr>
        <w:t xml:space="preserve"> personen met een handicap </w:t>
      </w:r>
      <w:r w:rsidR="003C5AB4" w:rsidRPr="00BC74EF">
        <w:rPr>
          <w:lang w:val="nl-NL"/>
        </w:rPr>
        <w:t xml:space="preserve">en andere gemarginaliseerde groepen bijstaan bij de </w:t>
      </w:r>
      <w:r w:rsidR="00D10B2C">
        <w:rPr>
          <w:lang w:val="nl-NL"/>
        </w:rPr>
        <w:t>uitoefening</w:t>
      </w:r>
      <w:r w:rsidR="003C5AB4" w:rsidRPr="00BC74EF">
        <w:rPr>
          <w:lang w:val="nl-NL"/>
        </w:rPr>
        <w:t xml:space="preserve"> van </w:t>
      </w:r>
      <w:r w:rsidR="00735BF6" w:rsidRPr="00BC74EF">
        <w:rPr>
          <w:lang w:val="nl-NL"/>
        </w:rPr>
        <w:t xml:space="preserve">hun </w:t>
      </w:r>
      <w:r w:rsidR="003C5AB4" w:rsidRPr="00BC74EF">
        <w:rPr>
          <w:lang w:val="nl-NL"/>
        </w:rPr>
        <w:t>recht op werk, te eerbiedigen en te beschermen.</w:t>
      </w:r>
      <w:r w:rsidR="003C5AB4" w:rsidRPr="00BC74EF">
        <w:rPr>
          <w:rStyle w:val="Voetnootmarkering"/>
          <w:lang w:val="nl-NL"/>
        </w:rPr>
        <w:footnoteReference w:id="29"/>
      </w:r>
      <w:r w:rsidR="00357CBC">
        <w:rPr>
          <w:lang w:val="nl-NL"/>
        </w:rPr>
        <w:t xml:space="preserve"> </w:t>
      </w:r>
    </w:p>
    <w:p w14:paraId="2E07ACD2" w14:textId="14178F2A" w:rsidR="00F6202B" w:rsidRPr="00BC74EF" w:rsidRDefault="006D79AC">
      <w:pPr>
        <w:pStyle w:val="SingleTxtG"/>
        <w:tabs>
          <w:tab w:val="clear" w:pos="2268"/>
        </w:tabs>
        <w:rPr>
          <w:lang w:val="nl-NL"/>
        </w:rPr>
      </w:pPr>
      <w:r w:rsidRPr="00BC74EF">
        <w:rPr>
          <w:lang w:val="nl-NL"/>
        </w:rPr>
        <w:t>3</w:t>
      </w:r>
      <w:r w:rsidR="00357CBC">
        <w:rPr>
          <w:lang w:val="nl-NL"/>
        </w:rPr>
        <w:t>2</w:t>
      </w:r>
      <w:r w:rsidRPr="00BC74EF">
        <w:rPr>
          <w:lang w:val="nl-NL"/>
        </w:rPr>
        <w:t>.</w:t>
      </w:r>
      <w:r w:rsidRPr="00BC74EF">
        <w:rPr>
          <w:lang w:val="nl-NL"/>
        </w:rPr>
        <w:tab/>
      </w:r>
      <w:r w:rsidR="003C5AB4" w:rsidRPr="00BC74EF">
        <w:rPr>
          <w:lang w:val="nl-NL"/>
        </w:rPr>
        <w:t>De bevordering van werkgelegenheid voor</w:t>
      </w:r>
      <w:r w:rsidR="00FF34DA">
        <w:rPr>
          <w:lang w:val="nl-NL"/>
        </w:rPr>
        <w:t xml:space="preserve"> personen met een handicap </w:t>
      </w:r>
      <w:r w:rsidR="003C5AB4" w:rsidRPr="00BC74EF">
        <w:rPr>
          <w:lang w:val="nl-NL"/>
        </w:rPr>
        <w:t xml:space="preserve">vereist dat </w:t>
      </w:r>
      <w:r w:rsidR="00735BF6" w:rsidRPr="00BC74EF">
        <w:rPr>
          <w:lang w:val="nl-NL"/>
        </w:rPr>
        <w:t xml:space="preserve">vakbonden en andere </w:t>
      </w:r>
      <w:r w:rsidR="003C5AB4" w:rsidRPr="00BC74EF">
        <w:rPr>
          <w:lang w:val="nl-NL"/>
        </w:rPr>
        <w:t xml:space="preserve">representatieve organisaties </w:t>
      </w:r>
      <w:r w:rsidR="00735BF6" w:rsidRPr="00BC74EF">
        <w:rPr>
          <w:lang w:val="nl-NL"/>
        </w:rPr>
        <w:t xml:space="preserve">die </w:t>
      </w:r>
      <w:r w:rsidR="003C5AB4" w:rsidRPr="00BC74EF">
        <w:rPr>
          <w:lang w:val="nl-NL"/>
        </w:rPr>
        <w:t xml:space="preserve">de rechten van werknemers met een handicap beschermen en </w:t>
      </w:r>
      <w:r w:rsidR="00735BF6" w:rsidRPr="00BC74EF">
        <w:rPr>
          <w:lang w:val="nl-NL"/>
        </w:rPr>
        <w:t xml:space="preserve">bevorderen, </w:t>
      </w:r>
      <w:r w:rsidR="003C5AB4" w:rsidRPr="00BC74EF">
        <w:rPr>
          <w:lang w:val="nl-NL"/>
        </w:rPr>
        <w:t xml:space="preserve">daadwerkelijk betrokken worden bij de vaststelling van prioriteiten, </w:t>
      </w:r>
      <w:r w:rsidR="00D10B2C">
        <w:rPr>
          <w:lang w:val="nl-NL"/>
        </w:rPr>
        <w:t xml:space="preserve">de </w:t>
      </w:r>
      <w:r w:rsidR="003C5AB4" w:rsidRPr="00BC74EF">
        <w:rPr>
          <w:lang w:val="nl-NL"/>
        </w:rPr>
        <w:t xml:space="preserve">besluitvorming, </w:t>
      </w:r>
      <w:r w:rsidR="00D10B2C">
        <w:rPr>
          <w:lang w:val="nl-NL"/>
        </w:rPr>
        <w:t xml:space="preserve">de </w:t>
      </w:r>
      <w:r w:rsidR="003C5AB4" w:rsidRPr="00BC74EF">
        <w:rPr>
          <w:lang w:val="nl-NL"/>
        </w:rPr>
        <w:t xml:space="preserve">planning, </w:t>
      </w:r>
      <w:r w:rsidR="00D10B2C">
        <w:rPr>
          <w:lang w:val="nl-NL"/>
        </w:rPr>
        <w:t xml:space="preserve">de </w:t>
      </w:r>
      <w:r w:rsidR="003C5AB4" w:rsidRPr="00BC74EF">
        <w:rPr>
          <w:lang w:val="nl-NL"/>
        </w:rPr>
        <w:t xml:space="preserve">uitvoering en </w:t>
      </w:r>
      <w:r w:rsidR="00D10B2C">
        <w:rPr>
          <w:lang w:val="nl-NL"/>
        </w:rPr>
        <w:t xml:space="preserve">de </w:t>
      </w:r>
      <w:r w:rsidR="003C5AB4" w:rsidRPr="00BC74EF">
        <w:rPr>
          <w:lang w:val="nl-NL"/>
        </w:rPr>
        <w:t>evaluatie van strategieën.</w:t>
      </w:r>
    </w:p>
    <w:p w14:paraId="777DBD57" w14:textId="499B289C" w:rsidR="00F6202B" w:rsidRPr="00BC74EF" w:rsidRDefault="006D79AC">
      <w:pPr>
        <w:pStyle w:val="SingleTxtG"/>
        <w:tabs>
          <w:tab w:val="clear" w:pos="2268"/>
        </w:tabs>
        <w:rPr>
          <w:lang w:val="nl-NL"/>
        </w:rPr>
      </w:pPr>
      <w:r w:rsidRPr="00BC74EF">
        <w:rPr>
          <w:lang w:val="nl-NL"/>
        </w:rPr>
        <w:t>3</w:t>
      </w:r>
      <w:r w:rsidR="00357CBC">
        <w:rPr>
          <w:lang w:val="nl-NL"/>
        </w:rPr>
        <w:t>3</w:t>
      </w:r>
      <w:r w:rsidRPr="00BC74EF">
        <w:rPr>
          <w:lang w:val="nl-NL"/>
        </w:rPr>
        <w:t>.</w:t>
      </w:r>
      <w:r w:rsidRPr="00BC74EF">
        <w:rPr>
          <w:lang w:val="nl-NL"/>
        </w:rPr>
        <w:tab/>
      </w:r>
      <w:r w:rsidR="003C5AB4" w:rsidRPr="00BC74EF">
        <w:rPr>
          <w:lang w:val="nl-NL"/>
        </w:rPr>
        <w:t xml:space="preserve">Algemene arbeidswetten en -codes moeten het expliciete verbod op discriminatie op grond van een handicap bevatten, alsmede </w:t>
      </w:r>
      <w:r w:rsidR="00357CBC">
        <w:rPr>
          <w:lang w:val="nl-NL"/>
        </w:rPr>
        <w:t xml:space="preserve">bepalingen over </w:t>
      </w:r>
      <w:r w:rsidR="00735BF6" w:rsidRPr="00BC74EF">
        <w:rPr>
          <w:lang w:val="nl-NL"/>
        </w:rPr>
        <w:t xml:space="preserve">de verantwoordelijkheid om ervoor te zorgen </w:t>
      </w:r>
      <w:r w:rsidR="003C5AB4" w:rsidRPr="00BC74EF">
        <w:rPr>
          <w:lang w:val="nl-NL"/>
        </w:rPr>
        <w:t>dat vakbonds</w:t>
      </w:r>
      <w:r w:rsidR="00357CBC">
        <w:rPr>
          <w:lang w:val="nl-NL"/>
        </w:rPr>
        <w:t>militanten</w:t>
      </w:r>
      <w:r w:rsidR="003C5AB4" w:rsidRPr="00BC74EF">
        <w:rPr>
          <w:lang w:val="nl-NL"/>
        </w:rPr>
        <w:t xml:space="preserve">, werkgevers en arbeidsmarktinstellingen volledig op de hoogte zijn van </w:t>
      </w:r>
      <w:r w:rsidR="00735BF6" w:rsidRPr="00BC74EF">
        <w:rPr>
          <w:lang w:val="nl-NL"/>
        </w:rPr>
        <w:t xml:space="preserve">kwesties inzake </w:t>
      </w:r>
      <w:r w:rsidR="003C5AB4" w:rsidRPr="00BC74EF">
        <w:rPr>
          <w:lang w:val="nl-NL"/>
        </w:rPr>
        <w:t xml:space="preserve">gelijkheid en non-discriminatie in </w:t>
      </w:r>
      <w:r w:rsidR="00735BF6" w:rsidRPr="00BC74EF">
        <w:rPr>
          <w:lang w:val="nl-NL"/>
        </w:rPr>
        <w:t xml:space="preserve">de context van het </w:t>
      </w:r>
      <w:r w:rsidR="003C5AB4" w:rsidRPr="00BC74EF">
        <w:rPr>
          <w:lang w:val="nl-NL"/>
        </w:rPr>
        <w:t>werk en de werkgelegenheid van personen met een handicap.</w:t>
      </w:r>
    </w:p>
    <w:p w14:paraId="2DD5B6A1" w14:textId="2FC469E3" w:rsidR="00F6202B" w:rsidRPr="00BC74EF" w:rsidRDefault="006D79AC">
      <w:pPr>
        <w:pStyle w:val="SingleTxtG"/>
        <w:tabs>
          <w:tab w:val="clear" w:pos="2268"/>
        </w:tabs>
        <w:rPr>
          <w:lang w:val="nl-NL"/>
        </w:rPr>
      </w:pPr>
      <w:r w:rsidRPr="00BC74EF">
        <w:rPr>
          <w:lang w:val="nl-NL"/>
        </w:rPr>
        <w:t>3</w:t>
      </w:r>
      <w:r w:rsidR="00357CBC">
        <w:rPr>
          <w:lang w:val="nl-NL"/>
        </w:rPr>
        <w:t>4</w:t>
      </w:r>
      <w:r w:rsidRPr="00BC74EF">
        <w:rPr>
          <w:lang w:val="nl-NL"/>
        </w:rPr>
        <w:t>.</w:t>
      </w:r>
      <w:r w:rsidRPr="00BC74EF">
        <w:rPr>
          <w:lang w:val="nl-NL"/>
        </w:rPr>
        <w:tab/>
      </w:r>
      <w:r w:rsidR="003C5AB4" w:rsidRPr="00BC74EF">
        <w:rPr>
          <w:lang w:val="nl-NL"/>
        </w:rPr>
        <w:t xml:space="preserve">Collectieve </w:t>
      </w:r>
      <w:r w:rsidR="00D10B2C">
        <w:rPr>
          <w:lang w:val="nl-NL"/>
        </w:rPr>
        <w:t>arbeidsovereenkomsten</w:t>
      </w:r>
      <w:r w:rsidR="003C5AB4" w:rsidRPr="00BC74EF">
        <w:rPr>
          <w:lang w:val="nl-NL"/>
        </w:rPr>
        <w:t xml:space="preserve"> </w:t>
      </w:r>
      <w:r w:rsidR="00824CAD" w:rsidRPr="00BC74EF">
        <w:rPr>
          <w:lang w:val="nl-NL"/>
        </w:rPr>
        <w:t xml:space="preserve">moeten discriminatie </w:t>
      </w:r>
      <w:r w:rsidR="003C5AB4" w:rsidRPr="00BC74EF">
        <w:rPr>
          <w:lang w:val="nl-NL"/>
        </w:rPr>
        <w:t xml:space="preserve">op grond van </w:t>
      </w:r>
      <w:r w:rsidR="00824CAD" w:rsidRPr="00BC74EF">
        <w:rPr>
          <w:lang w:val="nl-NL"/>
        </w:rPr>
        <w:t>handicap verbieden</w:t>
      </w:r>
      <w:r w:rsidR="003C5AB4" w:rsidRPr="00BC74EF">
        <w:rPr>
          <w:lang w:val="nl-NL"/>
        </w:rPr>
        <w:t xml:space="preserve">. </w:t>
      </w:r>
      <w:r w:rsidR="00357CBC">
        <w:rPr>
          <w:lang w:val="nl-NL"/>
        </w:rPr>
        <w:t>Bij de vaststelling van de</w:t>
      </w:r>
      <w:r w:rsidR="003C5AB4" w:rsidRPr="00BC74EF">
        <w:rPr>
          <w:lang w:val="nl-NL"/>
        </w:rPr>
        <w:t xml:space="preserve"> arbeidsvoorwaarden </w:t>
      </w:r>
      <w:r w:rsidR="00357CBC">
        <w:rPr>
          <w:lang w:val="nl-NL"/>
        </w:rPr>
        <w:t>moeten zij</w:t>
      </w:r>
      <w:r w:rsidR="00D10B2C">
        <w:rPr>
          <w:lang w:val="nl-NL"/>
        </w:rPr>
        <w:t xml:space="preserve"> </w:t>
      </w:r>
      <w:r w:rsidR="00824CAD" w:rsidRPr="00BC74EF">
        <w:rPr>
          <w:lang w:val="nl-NL"/>
        </w:rPr>
        <w:t xml:space="preserve">een mechanisme bevatten waarmee werknemers </w:t>
      </w:r>
      <w:r w:rsidR="00D10B2C">
        <w:rPr>
          <w:lang w:val="nl-NL"/>
        </w:rPr>
        <w:t xml:space="preserve">om </w:t>
      </w:r>
      <w:r w:rsidR="003C5AB4" w:rsidRPr="00BC74EF">
        <w:rPr>
          <w:lang w:val="nl-NL"/>
        </w:rPr>
        <w:t xml:space="preserve">redelijke aanpassingen kunnen </w:t>
      </w:r>
      <w:r w:rsidR="00D10B2C">
        <w:rPr>
          <w:lang w:val="nl-NL"/>
        </w:rPr>
        <w:t>verzoeken</w:t>
      </w:r>
      <w:r w:rsidR="003C5AB4" w:rsidRPr="00BC74EF">
        <w:rPr>
          <w:lang w:val="nl-NL"/>
        </w:rPr>
        <w:t>.</w:t>
      </w:r>
    </w:p>
    <w:p w14:paraId="7ACC1A6C" w14:textId="77777777" w:rsidR="00F6202B" w:rsidRPr="00BC74EF" w:rsidRDefault="002755DB">
      <w:pPr>
        <w:pStyle w:val="H1G"/>
        <w:rPr>
          <w:lang w:val="nl-NL"/>
        </w:rPr>
      </w:pPr>
      <w:r w:rsidRPr="00BC74EF">
        <w:rPr>
          <w:lang w:val="nl-NL"/>
        </w:rPr>
        <w:tab/>
      </w:r>
      <w:r w:rsidR="00E65790" w:rsidRPr="00BC74EF">
        <w:rPr>
          <w:lang w:val="nl-NL"/>
        </w:rPr>
        <w:t>E.</w:t>
      </w:r>
      <w:r w:rsidRPr="00BC74EF">
        <w:rPr>
          <w:lang w:val="nl-NL"/>
        </w:rPr>
        <w:tab/>
      </w:r>
      <w:r w:rsidR="003C5AB4" w:rsidRPr="00BC74EF">
        <w:rPr>
          <w:lang w:val="nl-NL"/>
        </w:rPr>
        <w:t xml:space="preserve">Toegang tot technische en beroepskeuzevoorlichting, arbeidsbemiddeling </w:t>
      </w:r>
      <w:r w:rsidR="0011333D" w:rsidRPr="00BC74EF">
        <w:rPr>
          <w:lang w:val="nl-NL"/>
        </w:rPr>
        <w:t>en opleiding (artikel 27, lid 1, onder d))</w:t>
      </w:r>
    </w:p>
    <w:p w14:paraId="031E9C92" w14:textId="00654E21" w:rsidR="00F6202B" w:rsidRPr="00BC74EF" w:rsidRDefault="006D79AC">
      <w:pPr>
        <w:pStyle w:val="SingleTxtG"/>
        <w:tabs>
          <w:tab w:val="clear" w:pos="2268"/>
        </w:tabs>
        <w:rPr>
          <w:lang w:val="nl-NL"/>
        </w:rPr>
      </w:pPr>
      <w:bookmarkStart w:id="21" w:name="_Hlk82966823"/>
      <w:r w:rsidRPr="00BC74EF">
        <w:rPr>
          <w:lang w:val="nl-NL"/>
        </w:rPr>
        <w:t>3</w:t>
      </w:r>
      <w:r w:rsidR="00357CBC">
        <w:rPr>
          <w:lang w:val="nl-NL"/>
        </w:rPr>
        <w:t>5</w:t>
      </w:r>
      <w:r w:rsidRPr="00BC74EF">
        <w:rPr>
          <w:lang w:val="nl-NL"/>
        </w:rPr>
        <w:t>.</w:t>
      </w:r>
      <w:r w:rsidRPr="00BC74EF">
        <w:rPr>
          <w:lang w:val="nl-NL"/>
        </w:rPr>
        <w:tab/>
      </w:r>
      <w:r w:rsidR="00925675" w:rsidRPr="00925675">
        <w:rPr>
          <w:lang w:val="nl-NL"/>
        </w:rPr>
        <w:t xml:space="preserve">Om hun recht op werk en werkgelegenheid te kunnen uitoefenen, moeten personen met een handicap zonder discriminatie en op voet van gelijkheid met anderen toegang hebben tot algemene technische en beroepskeuzevoorlichtings- en opleidingsdiensten en algemene arbeidsbemiddelingsdiensten, </w:t>
      </w:r>
      <w:r w:rsidR="00925675" w:rsidRPr="00357CBC">
        <w:rPr>
          <w:lang w:val="nl-NL"/>
        </w:rPr>
        <w:t>ongeacht of deze diensten openbaar of particulier zijn</w:t>
      </w:r>
      <w:r w:rsidR="003C5AB4" w:rsidRPr="00BC74EF">
        <w:rPr>
          <w:lang w:val="nl-NL"/>
        </w:rPr>
        <w:t>.</w:t>
      </w:r>
      <w:r w:rsidR="003C5AB4" w:rsidRPr="00BC74EF">
        <w:rPr>
          <w:rStyle w:val="Voetnootmarkering"/>
          <w:lang w:val="nl-NL"/>
        </w:rPr>
        <w:footnoteReference w:id="30"/>
      </w:r>
      <w:r w:rsidR="003C5AB4" w:rsidRPr="00BC74EF">
        <w:rPr>
          <w:lang w:val="nl-NL"/>
        </w:rPr>
        <w:t xml:space="preserve"> </w:t>
      </w:r>
      <w:r w:rsidR="00925675">
        <w:rPr>
          <w:lang w:val="nl-NL"/>
        </w:rPr>
        <w:t>Hun deelname</w:t>
      </w:r>
      <w:r w:rsidR="00FF34DA">
        <w:rPr>
          <w:lang w:val="nl-NL"/>
        </w:rPr>
        <w:t xml:space="preserve"> </w:t>
      </w:r>
      <w:r w:rsidR="003C5AB4" w:rsidRPr="00BC74EF">
        <w:rPr>
          <w:lang w:val="nl-NL"/>
        </w:rPr>
        <w:t xml:space="preserve">aan </w:t>
      </w:r>
      <w:r w:rsidR="00925675">
        <w:rPr>
          <w:lang w:val="nl-NL"/>
        </w:rPr>
        <w:t>diensten die aan de algemene bevolking worden aangeboden, draagt bij tot</w:t>
      </w:r>
      <w:r w:rsidR="00014369" w:rsidRPr="00BC74EF">
        <w:rPr>
          <w:lang w:val="nl-NL"/>
        </w:rPr>
        <w:t xml:space="preserve"> </w:t>
      </w:r>
      <w:r w:rsidR="003C5AB4" w:rsidRPr="00BC74EF">
        <w:rPr>
          <w:lang w:val="nl-NL"/>
        </w:rPr>
        <w:t xml:space="preserve">de niet-segregatie van diensten en de toegang </w:t>
      </w:r>
      <w:r w:rsidR="00014369" w:rsidRPr="00BC74EF">
        <w:rPr>
          <w:lang w:val="nl-NL"/>
        </w:rPr>
        <w:t>van</w:t>
      </w:r>
      <w:r w:rsidR="00FF34DA">
        <w:rPr>
          <w:lang w:val="nl-NL"/>
        </w:rPr>
        <w:t xml:space="preserve"> personen met een handicap </w:t>
      </w:r>
      <w:r w:rsidR="003C5AB4" w:rsidRPr="00BC74EF">
        <w:rPr>
          <w:lang w:val="nl-NL"/>
        </w:rPr>
        <w:t>tot open diensten op het gebied van werkgelegenheid en beroepsopleiding.</w:t>
      </w:r>
      <w:r w:rsidR="003C5AB4" w:rsidRPr="00BC74EF">
        <w:rPr>
          <w:rStyle w:val="Voetnootmarkering"/>
          <w:lang w:val="nl-NL"/>
        </w:rPr>
        <w:footnoteReference w:id="31"/>
      </w:r>
      <w:r w:rsidR="007752B5" w:rsidRPr="00BC74EF">
        <w:rPr>
          <w:lang w:val="nl-NL"/>
        </w:rPr>
        <w:t xml:space="preserve"> Deze </w:t>
      </w:r>
      <w:r w:rsidR="00014369" w:rsidRPr="00BC74EF">
        <w:rPr>
          <w:lang w:val="nl-NL"/>
        </w:rPr>
        <w:t xml:space="preserve">diensten </w:t>
      </w:r>
      <w:r w:rsidR="003C5AB4" w:rsidRPr="00BC74EF">
        <w:rPr>
          <w:lang w:val="nl-NL"/>
        </w:rPr>
        <w:t xml:space="preserve">kunnen </w:t>
      </w:r>
      <w:r w:rsidR="00925675">
        <w:rPr>
          <w:lang w:val="nl-NL"/>
        </w:rPr>
        <w:t xml:space="preserve">nuttig </w:t>
      </w:r>
      <w:r w:rsidR="003C5AB4" w:rsidRPr="00BC74EF">
        <w:rPr>
          <w:lang w:val="nl-NL"/>
        </w:rPr>
        <w:t xml:space="preserve">zijn </w:t>
      </w:r>
      <w:r w:rsidR="00014369" w:rsidRPr="00BC74EF">
        <w:rPr>
          <w:lang w:val="nl-NL"/>
        </w:rPr>
        <w:t xml:space="preserve">voor toetreding tot </w:t>
      </w:r>
      <w:r w:rsidR="003C5AB4" w:rsidRPr="00BC74EF">
        <w:rPr>
          <w:lang w:val="nl-NL"/>
        </w:rPr>
        <w:t xml:space="preserve">de arbeidsmarkt, </w:t>
      </w:r>
      <w:r w:rsidR="00014369" w:rsidRPr="00BC74EF">
        <w:rPr>
          <w:lang w:val="nl-NL"/>
        </w:rPr>
        <w:t xml:space="preserve">tijdens </w:t>
      </w:r>
      <w:r w:rsidR="003C5AB4" w:rsidRPr="00BC74EF">
        <w:rPr>
          <w:lang w:val="nl-NL"/>
        </w:rPr>
        <w:t xml:space="preserve">de loopbaan of </w:t>
      </w:r>
      <w:r w:rsidR="00014369" w:rsidRPr="00BC74EF">
        <w:rPr>
          <w:lang w:val="nl-NL"/>
        </w:rPr>
        <w:t xml:space="preserve">voor overgangen </w:t>
      </w:r>
      <w:r w:rsidR="003C5AB4" w:rsidRPr="00BC74EF">
        <w:rPr>
          <w:lang w:val="nl-NL"/>
        </w:rPr>
        <w:t xml:space="preserve">tussen </w:t>
      </w:r>
      <w:r w:rsidR="00925675">
        <w:rPr>
          <w:lang w:val="nl-NL"/>
        </w:rPr>
        <w:t>jobs</w:t>
      </w:r>
      <w:r w:rsidR="003C5AB4" w:rsidRPr="00BC74EF">
        <w:rPr>
          <w:lang w:val="nl-NL"/>
        </w:rPr>
        <w:t xml:space="preserve">. De </w:t>
      </w:r>
      <w:r w:rsidR="003001A8">
        <w:rPr>
          <w:lang w:val="nl-NL"/>
        </w:rPr>
        <w:t>Staten die Partij</w:t>
      </w:r>
      <w:r w:rsidR="00014369" w:rsidRPr="00BC74EF">
        <w:rPr>
          <w:lang w:val="nl-NL"/>
        </w:rPr>
        <w:t xml:space="preserve"> zijn </w:t>
      </w:r>
      <w:r w:rsidR="003C5AB4" w:rsidRPr="00BC74EF">
        <w:rPr>
          <w:lang w:val="nl-NL"/>
        </w:rPr>
        <w:t xml:space="preserve">dienen maatregelen </w:t>
      </w:r>
      <w:r w:rsidR="00C7223F">
        <w:rPr>
          <w:lang w:val="nl-NL"/>
        </w:rPr>
        <w:t xml:space="preserve">te nemen </w:t>
      </w:r>
      <w:r w:rsidR="00925675">
        <w:rPr>
          <w:lang w:val="nl-NL"/>
        </w:rPr>
        <w:t xml:space="preserve">om te zorgen voor </w:t>
      </w:r>
      <w:r w:rsidR="00014369" w:rsidRPr="00BC74EF">
        <w:rPr>
          <w:lang w:val="nl-NL"/>
        </w:rPr>
        <w:t xml:space="preserve">de </w:t>
      </w:r>
      <w:r w:rsidR="003C5AB4" w:rsidRPr="00BC74EF">
        <w:rPr>
          <w:lang w:val="nl-NL"/>
        </w:rPr>
        <w:t xml:space="preserve">certificering van </w:t>
      </w:r>
      <w:r w:rsidR="003001A8">
        <w:rPr>
          <w:lang w:val="nl-NL"/>
        </w:rPr>
        <w:t>vaardigheden</w:t>
      </w:r>
      <w:r w:rsidR="003C5AB4" w:rsidRPr="00BC74EF">
        <w:rPr>
          <w:lang w:val="nl-NL"/>
        </w:rPr>
        <w:t xml:space="preserve"> en </w:t>
      </w:r>
      <w:r w:rsidR="003001A8">
        <w:rPr>
          <w:lang w:val="nl-NL"/>
        </w:rPr>
        <w:t>prestaties</w:t>
      </w:r>
      <w:r w:rsidR="003C5AB4" w:rsidRPr="00BC74EF">
        <w:rPr>
          <w:lang w:val="nl-NL"/>
        </w:rPr>
        <w:t xml:space="preserve"> op voet van gelijkheid met anderen, </w:t>
      </w:r>
      <w:r w:rsidR="00014369" w:rsidRPr="00BC74EF">
        <w:rPr>
          <w:lang w:val="nl-NL"/>
        </w:rPr>
        <w:t xml:space="preserve">de </w:t>
      </w:r>
      <w:r w:rsidR="003C5AB4" w:rsidRPr="00BC74EF">
        <w:rPr>
          <w:lang w:val="nl-NL"/>
        </w:rPr>
        <w:t>uitdrukkelijke opneming van</w:t>
      </w:r>
      <w:r w:rsidR="00FF34DA">
        <w:rPr>
          <w:lang w:val="nl-NL"/>
        </w:rPr>
        <w:t xml:space="preserve"> personen met een handicap </w:t>
      </w:r>
      <w:r w:rsidR="003C5AB4" w:rsidRPr="00BC74EF">
        <w:rPr>
          <w:lang w:val="nl-NL"/>
        </w:rPr>
        <w:t xml:space="preserve">in de wetgeving inzake beroepsopleiding, uitdrukkelijke </w:t>
      </w:r>
      <w:r w:rsidR="00014369" w:rsidRPr="00BC74EF">
        <w:rPr>
          <w:lang w:val="nl-NL"/>
        </w:rPr>
        <w:t xml:space="preserve">verwijzingen </w:t>
      </w:r>
      <w:r w:rsidR="003C5AB4" w:rsidRPr="00BC74EF">
        <w:rPr>
          <w:lang w:val="nl-NL"/>
        </w:rPr>
        <w:t>naar</w:t>
      </w:r>
      <w:r w:rsidR="00FF34DA">
        <w:rPr>
          <w:lang w:val="nl-NL"/>
        </w:rPr>
        <w:t xml:space="preserve"> personen met een handicap </w:t>
      </w:r>
      <w:r w:rsidR="003C5AB4" w:rsidRPr="00BC74EF">
        <w:rPr>
          <w:lang w:val="nl-NL"/>
        </w:rPr>
        <w:t xml:space="preserve">in het algemene beleid inzake beroepsopleiding, </w:t>
      </w:r>
      <w:r w:rsidR="00014369" w:rsidRPr="00BC74EF">
        <w:rPr>
          <w:lang w:val="nl-NL"/>
        </w:rPr>
        <w:t xml:space="preserve">de toegankelijkheid van </w:t>
      </w:r>
      <w:r w:rsidR="003C5AB4" w:rsidRPr="00BC74EF">
        <w:rPr>
          <w:lang w:val="nl-NL"/>
        </w:rPr>
        <w:t>gebouwen, informatie en materiaal, het aanbieden van beroepsopleiding over de rechten van</w:t>
      </w:r>
      <w:r w:rsidR="00FF34DA">
        <w:rPr>
          <w:lang w:val="nl-NL"/>
        </w:rPr>
        <w:t xml:space="preserve"> personen met een handicap </w:t>
      </w:r>
      <w:r w:rsidR="003C5AB4" w:rsidRPr="00BC74EF">
        <w:rPr>
          <w:lang w:val="nl-NL"/>
        </w:rPr>
        <w:t xml:space="preserve">en de financiering van redelijke aanpassingen. </w:t>
      </w:r>
      <w:r w:rsidR="003001A8">
        <w:rPr>
          <w:lang w:val="nl-NL"/>
        </w:rPr>
        <w:t>Programma’s voor b</w:t>
      </w:r>
      <w:r w:rsidR="003C5AB4" w:rsidRPr="00BC74EF">
        <w:rPr>
          <w:lang w:val="nl-NL"/>
        </w:rPr>
        <w:t>eroepsvoorbereiding, opleiding en a</w:t>
      </w:r>
      <w:r w:rsidR="00C7223F">
        <w:rPr>
          <w:lang w:val="nl-NL"/>
        </w:rPr>
        <w:t>anverwante</w:t>
      </w:r>
      <w:r w:rsidR="003C5AB4" w:rsidRPr="00BC74EF">
        <w:rPr>
          <w:lang w:val="nl-NL"/>
        </w:rPr>
        <w:t xml:space="preserve"> diensten moeten op toegankelijke en inclusieve wijze worden aangeboden</w:t>
      </w:r>
      <w:r w:rsidR="00824CAD" w:rsidRPr="00BC74EF">
        <w:rPr>
          <w:lang w:val="nl-NL"/>
        </w:rPr>
        <w:t xml:space="preserve">, </w:t>
      </w:r>
      <w:r w:rsidR="003001A8">
        <w:rPr>
          <w:lang w:val="nl-NL"/>
        </w:rPr>
        <w:t>onder meer door</w:t>
      </w:r>
      <w:r w:rsidR="00824CAD" w:rsidRPr="00BC74EF">
        <w:rPr>
          <w:lang w:val="nl-NL"/>
        </w:rPr>
        <w:t xml:space="preserve"> financiële </w:t>
      </w:r>
      <w:r w:rsidR="003001A8">
        <w:rPr>
          <w:lang w:val="nl-NL"/>
        </w:rPr>
        <w:t>ondersteuning voor deelnemers</w:t>
      </w:r>
      <w:r w:rsidR="003C5AB4" w:rsidRPr="00BC74EF">
        <w:rPr>
          <w:lang w:val="nl-NL"/>
        </w:rPr>
        <w:t>.</w:t>
      </w:r>
    </w:p>
    <w:bookmarkEnd w:id="21"/>
    <w:p w14:paraId="48693FEA" w14:textId="717E2FA2" w:rsidR="00F6202B" w:rsidRPr="00BC74EF" w:rsidRDefault="002755DB">
      <w:pPr>
        <w:pStyle w:val="H1G"/>
        <w:rPr>
          <w:lang w:val="nl-NL"/>
        </w:rPr>
      </w:pPr>
      <w:r w:rsidRPr="00BC74EF">
        <w:rPr>
          <w:lang w:val="nl-NL"/>
        </w:rPr>
        <w:tab/>
      </w:r>
      <w:r w:rsidR="00E65790" w:rsidRPr="00BC74EF">
        <w:rPr>
          <w:lang w:val="nl-NL"/>
        </w:rPr>
        <w:t>F.</w:t>
      </w:r>
      <w:r w:rsidRPr="00BC74EF">
        <w:rPr>
          <w:lang w:val="nl-NL"/>
        </w:rPr>
        <w:tab/>
      </w:r>
      <w:r w:rsidR="0011333D" w:rsidRPr="00BC74EF">
        <w:rPr>
          <w:lang w:val="nl-NL"/>
        </w:rPr>
        <w:t xml:space="preserve">Bevordering van </w:t>
      </w:r>
      <w:r w:rsidR="003C5AB4" w:rsidRPr="00BC74EF">
        <w:rPr>
          <w:lang w:val="nl-NL"/>
        </w:rPr>
        <w:t xml:space="preserve">werkgelegenheid en </w:t>
      </w:r>
      <w:r w:rsidR="00F95F1D">
        <w:rPr>
          <w:lang w:val="nl-NL"/>
        </w:rPr>
        <w:t>promotie</w:t>
      </w:r>
      <w:r w:rsidR="003C5AB4" w:rsidRPr="00BC74EF">
        <w:rPr>
          <w:lang w:val="nl-NL"/>
        </w:rPr>
        <w:t xml:space="preserve"> </w:t>
      </w:r>
      <w:r w:rsidR="0011333D" w:rsidRPr="00BC74EF">
        <w:rPr>
          <w:lang w:val="nl-NL"/>
        </w:rPr>
        <w:t>(artikel 27, lid 1, onder e))</w:t>
      </w:r>
    </w:p>
    <w:p w14:paraId="08C5DAAA" w14:textId="7902454B" w:rsidR="00F6202B" w:rsidRPr="00BC74EF" w:rsidRDefault="006D79AC">
      <w:pPr>
        <w:pStyle w:val="SingleTxtG"/>
        <w:tabs>
          <w:tab w:val="clear" w:pos="2268"/>
        </w:tabs>
        <w:rPr>
          <w:lang w:val="nl-NL"/>
        </w:rPr>
      </w:pPr>
      <w:r w:rsidRPr="00BC74EF">
        <w:rPr>
          <w:lang w:val="nl-NL"/>
        </w:rPr>
        <w:t>3</w:t>
      </w:r>
      <w:r w:rsidR="00357CBC">
        <w:rPr>
          <w:lang w:val="nl-NL"/>
        </w:rPr>
        <w:t>6</w:t>
      </w:r>
      <w:r w:rsidRPr="00BC74EF">
        <w:rPr>
          <w:lang w:val="nl-NL"/>
        </w:rPr>
        <w:t>.</w:t>
      </w:r>
      <w:r w:rsidRPr="00BC74EF">
        <w:rPr>
          <w:lang w:val="nl-NL"/>
        </w:rPr>
        <w:tab/>
      </w:r>
      <w:r w:rsidR="003C5AB4" w:rsidRPr="00BC74EF">
        <w:rPr>
          <w:lang w:val="nl-NL"/>
        </w:rPr>
        <w:t xml:space="preserve">De </w:t>
      </w:r>
      <w:r w:rsidR="003001A8">
        <w:rPr>
          <w:lang w:val="nl-NL"/>
        </w:rPr>
        <w:t>Staten die Partij</w:t>
      </w:r>
      <w:r w:rsidR="003C5AB4" w:rsidRPr="00BC74EF">
        <w:rPr>
          <w:lang w:val="nl-NL"/>
        </w:rPr>
        <w:t xml:space="preserve"> zijn dienen ervoor te zorgen dat personen met een handicap </w:t>
      </w:r>
      <w:r w:rsidR="00C7223F">
        <w:rPr>
          <w:lang w:val="nl-NL"/>
        </w:rPr>
        <w:t>in alle vormen van werkgelegenheid reële bevorderings</w:t>
      </w:r>
      <w:r w:rsidR="003C5AB4" w:rsidRPr="00BC74EF">
        <w:rPr>
          <w:lang w:val="nl-NL"/>
        </w:rPr>
        <w:t>kansen krijgen</w:t>
      </w:r>
      <w:r w:rsidR="003C5AB4" w:rsidRPr="00BC74EF">
        <w:rPr>
          <w:rStyle w:val="Voetnootmarkering"/>
          <w:lang w:val="nl-NL"/>
        </w:rPr>
        <w:footnoteReference w:id="32"/>
      </w:r>
      <w:r w:rsidR="003C5AB4" w:rsidRPr="00BC74EF">
        <w:rPr>
          <w:lang w:val="nl-NL"/>
        </w:rPr>
        <w:t xml:space="preserve"> </w:t>
      </w:r>
      <w:r w:rsidR="003001A8">
        <w:rPr>
          <w:lang w:val="nl-NL"/>
        </w:rPr>
        <w:t>Mogelijkheden voor loopbanontwikkeling</w:t>
      </w:r>
      <w:r w:rsidR="003C5AB4" w:rsidRPr="00BC74EF">
        <w:rPr>
          <w:lang w:val="nl-NL"/>
        </w:rPr>
        <w:t xml:space="preserve"> omvatten om- en bijscholing, opleiding</w:t>
      </w:r>
      <w:r w:rsidR="00ED56D7" w:rsidRPr="00BC74EF">
        <w:rPr>
          <w:lang w:val="nl-NL"/>
        </w:rPr>
        <w:t xml:space="preserve">, </w:t>
      </w:r>
      <w:r w:rsidR="003C5AB4" w:rsidRPr="00BC74EF">
        <w:rPr>
          <w:lang w:val="nl-NL"/>
        </w:rPr>
        <w:t xml:space="preserve">levenslang leren en mentorprogramma's. </w:t>
      </w:r>
    </w:p>
    <w:p w14:paraId="29627065" w14:textId="6AA62F7E" w:rsidR="00F6202B" w:rsidRPr="00BC74EF" w:rsidRDefault="002755DB">
      <w:pPr>
        <w:pStyle w:val="SingleTxtG"/>
        <w:tabs>
          <w:tab w:val="clear" w:pos="2268"/>
        </w:tabs>
        <w:rPr>
          <w:lang w:val="nl-NL"/>
        </w:rPr>
      </w:pPr>
      <w:r w:rsidRPr="00BC74EF">
        <w:rPr>
          <w:lang w:val="nl-NL"/>
        </w:rPr>
        <w:lastRenderedPageBreak/>
        <w:t>3</w:t>
      </w:r>
      <w:r w:rsidR="00357CBC">
        <w:rPr>
          <w:lang w:val="nl-NL"/>
        </w:rPr>
        <w:t>7</w:t>
      </w:r>
      <w:r w:rsidR="0006414B" w:rsidRPr="00BC74EF">
        <w:rPr>
          <w:lang w:val="nl-NL"/>
        </w:rPr>
        <w:t>.</w:t>
      </w:r>
      <w:r w:rsidR="0006414B" w:rsidRPr="00BC74EF">
        <w:rPr>
          <w:lang w:val="nl-NL"/>
        </w:rPr>
        <w:tab/>
      </w:r>
      <w:r w:rsidR="003C5AB4" w:rsidRPr="00BC74EF">
        <w:rPr>
          <w:lang w:val="nl-NL"/>
        </w:rPr>
        <w:t xml:space="preserve">Alle werknemers met een handicap hebben het recht </w:t>
      </w:r>
      <w:r w:rsidR="003E2E70" w:rsidRPr="00BC74EF">
        <w:rPr>
          <w:lang w:val="nl-NL"/>
        </w:rPr>
        <w:t xml:space="preserve">om op voet </w:t>
      </w:r>
      <w:r w:rsidR="003C5AB4" w:rsidRPr="00BC74EF">
        <w:rPr>
          <w:lang w:val="nl-NL"/>
        </w:rPr>
        <w:t xml:space="preserve">van gelijkheid </w:t>
      </w:r>
      <w:r w:rsidR="003E2E70" w:rsidRPr="00BC74EF">
        <w:rPr>
          <w:lang w:val="nl-NL"/>
        </w:rPr>
        <w:t xml:space="preserve">met anderen in aanmerking te komen </w:t>
      </w:r>
      <w:r w:rsidR="003C5AB4" w:rsidRPr="00BC74EF">
        <w:rPr>
          <w:lang w:val="nl-NL"/>
        </w:rPr>
        <w:t xml:space="preserve">voor bevordering door middel van eerlijke, op verdiensten </w:t>
      </w:r>
      <w:r w:rsidR="00ED56D7" w:rsidRPr="00BC74EF">
        <w:rPr>
          <w:lang w:val="nl-NL"/>
        </w:rPr>
        <w:t xml:space="preserve">gebaseerde </w:t>
      </w:r>
      <w:r w:rsidR="003C5AB4" w:rsidRPr="00BC74EF">
        <w:rPr>
          <w:lang w:val="nl-NL"/>
        </w:rPr>
        <w:t xml:space="preserve">en transparante procedures. De </w:t>
      </w:r>
      <w:r w:rsidR="003001A8">
        <w:rPr>
          <w:lang w:val="nl-NL"/>
        </w:rPr>
        <w:t>Staten die Partij</w:t>
      </w:r>
      <w:r w:rsidR="003C5AB4" w:rsidRPr="00BC74EF">
        <w:rPr>
          <w:lang w:val="nl-NL"/>
        </w:rPr>
        <w:t xml:space="preserve"> zijn dienen </w:t>
      </w:r>
      <w:r w:rsidR="003E2E70" w:rsidRPr="00BC74EF">
        <w:rPr>
          <w:lang w:val="nl-NL"/>
        </w:rPr>
        <w:t xml:space="preserve">de </w:t>
      </w:r>
      <w:r w:rsidR="003C5AB4" w:rsidRPr="00BC74EF">
        <w:rPr>
          <w:lang w:val="nl-NL"/>
        </w:rPr>
        <w:t xml:space="preserve">directe en indirecte belemmeringen voor </w:t>
      </w:r>
      <w:r w:rsidR="00C7223F">
        <w:rPr>
          <w:lang w:val="nl-NL"/>
        </w:rPr>
        <w:t>bevordering</w:t>
      </w:r>
      <w:r w:rsidR="003C5AB4" w:rsidRPr="00BC74EF">
        <w:rPr>
          <w:lang w:val="nl-NL"/>
        </w:rPr>
        <w:t xml:space="preserve"> te </w:t>
      </w:r>
      <w:r w:rsidR="003E2E70" w:rsidRPr="00BC74EF">
        <w:rPr>
          <w:lang w:val="nl-NL"/>
        </w:rPr>
        <w:t xml:space="preserve">analyseren </w:t>
      </w:r>
      <w:r w:rsidR="006B3FC4" w:rsidRPr="00BC74EF">
        <w:rPr>
          <w:lang w:val="nl-NL"/>
        </w:rPr>
        <w:t xml:space="preserve">waarmee </w:t>
      </w:r>
      <w:r w:rsidR="003C5AB4" w:rsidRPr="00BC74EF">
        <w:rPr>
          <w:lang w:val="nl-NL"/>
        </w:rPr>
        <w:t xml:space="preserve">personen met een handicap, in het bijzonder vrouwen met een handicap, </w:t>
      </w:r>
      <w:r w:rsidR="006B3FC4" w:rsidRPr="00BC74EF">
        <w:rPr>
          <w:lang w:val="nl-NL"/>
        </w:rPr>
        <w:t>geconfronteerd worden</w:t>
      </w:r>
      <w:r w:rsidR="003C5AB4" w:rsidRPr="00BC74EF">
        <w:rPr>
          <w:lang w:val="nl-NL"/>
        </w:rPr>
        <w:t xml:space="preserve">. De </w:t>
      </w:r>
      <w:r w:rsidR="003C5AB4" w:rsidRPr="00BC74EF">
        <w:rPr>
          <w:iCs/>
          <w:lang w:val="nl-NL"/>
        </w:rPr>
        <w:t xml:space="preserve">in artikel 27, lid 1, onder d), bedoelde beroepsopleiding </w:t>
      </w:r>
      <w:r w:rsidR="003E2E70" w:rsidRPr="00BC74EF">
        <w:rPr>
          <w:iCs/>
          <w:lang w:val="nl-NL"/>
        </w:rPr>
        <w:t xml:space="preserve">omvat opleidingen die </w:t>
      </w:r>
      <w:r w:rsidR="003C5AB4" w:rsidRPr="00BC74EF">
        <w:rPr>
          <w:iCs/>
          <w:lang w:val="nl-NL"/>
        </w:rPr>
        <w:t xml:space="preserve">werknemers met een handicap </w:t>
      </w:r>
      <w:r w:rsidR="003E2E70" w:rsidRPr="00BC74EF">
        <w:rPr>
          <w:iCs/>
          <w:lang w:val="nl-NL"/>
        </w:rPr>
        <w:t xml:space="preserve">volgen </w:t>
      </w:r>
      <w:r w:rsidR="003C5AB4" w:rsidRPr="00BC74EF">
        <w:rPr>
          <w:iCs/>
          <w:lang w:val="nl-NL"/>
        </w:rPr>
        <w:t xml:space="preserve">om hun loopbaan </w:t>
      </w:r>
      <w:r w:rsidR="00414CCB">
        <w:rPr>
          <w:iCs/>
          <w:lang w:val="nl-NL"/>
        </w:rPr>
        <w:t>uit te bouwen</w:t>
      </w:r>
      <w:r w:rsidR="003C5AB4" w:rsidRPr="00BC74EF">
        <w:rPr>
          <w:iCs/>
          <w:lang w:val="nl-NL"/>
        </w:rPr>
        <w:t xml:space="preserve">. De cursussen </w:t>
      </w:r>
      <w:r w:rsidR="003E2E70" w:rsidRPr="00BC74EF">
        <w:rPr>
          <w:iCs/>
          <w:lang w:val="nl-NL"/>
        </w:rPr>
        <w:t xml:space="preserve">moeten </w:t>
      </w:r>
      <w:r w:rsidR="003C5AB4" w:rsidRPr="00BC74EF">
        <w:rPr>
          <w:iCs/>
          <w:lang w:val="nl-NL"/>
        </w:rPr>
        <w:t xml:space="preserve">toegankelijk zijn en </w:t>
      </w:r>
      <w:r w:rsidR="00D45978" w:rsidRPr="00BC74EF">
        <w:rPr>
          <w:iCs/>
          <w:lang w:val="nl-NL"/>
        </w:rPr>
        <w:t xml:space="preserve">werknemers moeten </w:t>
      </w:r>
      <w:r w:rsidR="003001A8">
        <w:rPr>
          <w:iCs/>
          <w:lang w:val="nl-NL"/>
        </w:rPr>
        <w:t xml:space="preserve">om </w:t>
      </w:r>
      <w:r w:rsidR="003C5AB4" w:rsidRPr="00BC74EF">
        <w:rPr>
          <w:iCs/>
          <w:lang w:val="nl-NL"/>
        </w:rPr>
        <w:t xml:space="preserve">redelijke aanpassingen kunnen </w:t>
      </w:r>
      <w:r w:rsidR="003001A8">
        <w:rPr>
          <w:iCs/>
          <w:lang w:val="nl-NL"/>
        </w:rPr>
        <w:t>verzoeken</w:t>
      </w:r>
      <w:r w:rsidR="003C5AB4" w:rsidRPr="00BC74EF">
        <w:rPr>
          <w:iCs/>
          <w:lang w:val="nl-NL"/>
        </w:rPr>
        <w:t xml:space="preserve">. </w:t>
      </w:r>
    </w:p>
    <w:p w14:paraId="407E94DA" w14:textId="33D1C707" w:rsidR="00F6202B" w:rsidRPr="00BC74EF" w:rsidRDefault="002755DB">
      <w:pPr>
        <w:pStyle w:val="H1G"/>
        <w:rPr>
          <w:lang w:val="nl-NL"/>
        </w:rPr>
      </w:pPr>
      <w:r w:rsidRPr="00BC74EF">
        <w:rPr>
          <w:lang w:val="nl-NL"/>
        </w:rPr>
        <w:tab/>
      </w:r>
      <w:r w:rsidR="00E65790" w:rsidRPr="00BC74EF">
        <w:rPr>
          <w:lang w:val="nl-NL"/>
        </w:rPr>
        <w:t>G.</w:t>
      </w:r>
      <w:r w:rsidRPr="00BC74EF">
        <w:rPr>
          <w:lang w:val="nl-NL"/>
        </w:rPr>
        <w:tab/>
      </w:r>
      <w:r w:rsidR="0011333D" w:rsidRPr="00BC74EF">
        <w:rPr>
          <w:lang w:val="nl-NL"/>
        </w:rPr>
        <w:t xml:space="preserve">Bevordering van </w:t>
      </w:r>
      <w:r w:rsidR="003C5AB4" w:rsidRPr="00BC74EF">
        <w:rPr>
          <w:lang w:val="nl-NL"/>
        </w:rPr>
        <w:t>kansen voor zelfstandigen</w:t>
      </w:r>
      <w:r w:rsidR="0011333D" w:rsidRPr="00BC74EF">
        <w:rPr>
          <w:lang w:val="nl-NL"/>
        </w:rPr>
        <w:t xml:space="preserve">, ondernemerschap </w:t>
      </w:r>
      <w:r w:rsidR="003C5AB4" w:rsidRPr="00BC74EF">
        <w:rPr>
          <w:lang w:val="nl-NL"/>
        </w:rPr>
        <w:t xml:space="preserve">en </w:t>
      </w:r>
      <w:r w:rsidR="00C7223F">
        <w:rPr>
          <w:lang w:val="nl-NL"/>
        </w:rPr>
        <w:t xml:space="preserve">de organisatie van </w:t>
      </w:r>
      <w:r w:rsidR="003C5AB4" w:rsidRPr="00BC74EF">
        <w:rPr>
          <w:lang w:val="nl-NL"/>
        </w:rPr>
        <w:t>coöperaties (</w:t>
      </w:r>
      <w:r w:rsidR="0011333D" w:rsidRPr="00BC74EF">
        <w:rPr>
          <w:lang w:val="nl-NL"/>
        </w:rPr>
        <w:t>artikel 27, lid 1, onder f))</w:t>
      </w:r>
    </w:p>
    <w:p w14:paraId="532157F2" w14:textId="5BD64E51" w:rsidR="00F6202B" w:rsidRPr="00BC74EF" w:rsidRDefault="002755DB">
      <w:pPr>
        <w:pStyle w:val="SingleTxtG"/>
        <w:tabs>
          <w:tab w:val="clear" w:pos="2268"/>
        </w:tabs>
        <w:rPr>
          <w:lang w:val="nl-NL"/>
        </w:rPr>
      </w:pPr>
      <w:r w:rsidRPr="00BC74EF">
        <w:rPr>
          <w:lang w:val="nl-NL"/>
        </w:rPr>
        <w:t>3</w:t>
      </w:r>
      <w:r w:rsidR="00357CBC">
        <w:rPr>
          <w:lang w:val="nl-NL"/>
        </w:rPr>
        <w:t>8</w:t>
      </w:r>
      <w:r w:rsidR="0006414B" w:rsidRPr="00BC74EF">
        <w:rPr>
          <w:lang w:val="nl-NL"/>
        </w:rPr>
        <w:t>.</w:t>
      </w:r>
      <w:r w:rsidR="0006414B" w:rsidRPr="00BC74EF">
        <w:rPr>
          <w:lang w:val="nl-NL"/>
        </w:rPr>
        <w:tab/>
      </w:r>
      <w:r w:rsidR="003C5AB4" w:rsidRPr="00BC74EF">
        <w:rPr>
          <w:lang w:val="nl-NL"/>
        </w:rPr>
        <w:t xml:space="preserve">Personen met een handicap hebben het recht </w:t>
      </w:r>
      <w:r w:rsidR="00C07823" w:rsidRPr="00BC74EF">
        <w:rPr>
          <w:lang w:val="nl-NL"/>
        </w:rPr>
        <w:t xml:space="preserve">hun </w:t>
      </w:r>
      <w:r w:rsidR="003C5AB4" w:rsidRPr="00BC74EF">
        <w:rPr>
          <w:lang w:val="nl-NL"/>
        </w:rPr>
        <w:t>werk vrij te kiezen</w:t>
      </w:r>
      <w:r w:rsidR="00C07823" w:rsidRPr="00BC74EF">
        <w:rPr>
          <w:lang w:val="nl-NL"/>
        </w:rPr>
        <w:t xml:space="preserve">, ook of zij </w:t>
      </w:r>
      <w:r w:rsidR="003C5AB4" w:rsidRPr="00BC74EF">
        <w:rPr>
          <w:lang w:val="nl-NL"/>
        </w:rPr>
        <w:t xml:space="preserve">zelfstandige willen zijn, een eigen bedrijf willen beginnen of in een coöperatie willen werken. De </w:t>
      </w:r>
      <w:r w:rsidR="003001A8">
        <w:rPr>
          <w:lang w:val="nl-NL"/>
        </w:rPr>
        <w:t>Staten die Partij</w:t>
      </w:r>
      <w:r w:rsidR="003C5AB4" w:rsidRPr="00BC74EF">
        <w:rPr>
          <w:lang w:val="nl-NL"/>
        </w:rPr>
        <w:t xml:space="preserve"> zijn dienen gerichte maatregelen te nemen om personen met een handicap in de informele economie te beschermen en te ondersteunen, hun overgang naar de formele economie te bevorderen en te versnellen, en te voorkomen dat werk in de formele economie informeel wordt</w:t>
      </w:r>
      <w:r w:rsidR="00F2417E" w:rsidRPr="00BC74EF">
        <w:rPr>
          <w:lang w:val="nl-NL"/>
        </w:rPr>
        <w:t>.</w:t>
      </w:r>
      <w:r w:rsidR="003C5AB4" w:rsidRPr="00BC74EF">
        <w:rPr>
          <w:rStyle w:val="Voetnootmarkering"/>
          <w:lang w:val="nl-NL"/>
        </w:rPr>
        <w:footnoteReference w:id="33"/>
      </w:r>
    </w:p>
    <w:p w14:paraId="4137B635" w14:textId="2D3003D9" w:rsidR="00F6202B" w:rsidRPr="00BC74EF" w:rsidRDefault="002755DB">
      <w:pPr>
        <w:pStyle w:val="SingleTxtG"/>
        <w:tabs>
          <w:tab w:val="clear" w:pos="2268"/>
        </w:tabs>
        <w:rPr>
          <w:lang w:val="nl-NL"/>
        </w:rPr>
      </w:pPr>
      <w:bookmarkStart w:id="22" w:name="AP11"/>
      <w:bookmarkEnd w:id="22"/>
      <w:r w:rsidRPr="00BC74EF">
        <w:rPr>
          <w:lang w:val="nl-NL"/>
        </w:rPr>
        <w:t>3</w:t>
      </w:r>
      <w:r w:rsidR="00357CBC">
        <w:rPr>
          <w:lang w:val="nl-NL"/>
        </w:rPr>
        <w:t>9</w:t>
      </w:r>
      <w:r w:rsidR="0006414B" w:rsidRPr="00BC74EF">
        <w:rPr>
          <w:lang w:val="nl-NL"/>
        </w:rPr>
        <w:t>.</w:t>
      </w:r>
      <w:r w:rsidR="0006414B" w:rsidRPr="00BC74EF">
        <w:rPr>
          <w:lang w:val="nl-NL"/>
        </w:rPr>
        <w:tab/>
      </w:r>
      <w:r w:rsidR="003C5AB4" w:rsidRPr="00BC74EF">
        <w:rPr>
          <w:lang w:val="nl-NL"/>
        </w:rPr>
        <w:t xml:space="preserve">De bevordering van </w:t>
      </w:r>
      <w:r w:rsidR="00C7223F">
        <w:rPr>
          <w:lang w:val="nl-NL"/>
        </w:rPr>
        <w:t>mogelijkheden voor</w:t>
      </w:r>
      <w:r w:rsidR="003C5AB4" w:rsidRPr="00BC74EF">
        <w:rPr>
          <w:lang w:val="nl-NL"/>
        </w:rPr>
        <w:t xml:space="preserve"> vrij gekozen </w:t>
      </w:r>
      <w:r w:rsidR="00C07823" w:rsidRPr="00BC74EF">
        <w:rPr>
          <w:lang w:val="nl-NL"/>
        </w:rPr>
        <w:t xml:space="preserve">werk </w:t>
      </w:r>
      <w:r w:rsidR="003C5AB4" w:rsidRPr="00BC74EF">
        <w:rPr>
          <w:lang w:val="nl-NL"/>
        </w:rPr>
        <w:t xml:space="preserve">vereist toegankelijke informatie over ondernemerschap, micro-, kleine en middelgrote ondernemingen en andere vormen van bedrijfsmodellen </w:t>
      </w:r>
      <w:r w:rsidR="00C07823" w:rsidRPr="00BC74EF">
        <w:rPr>
          <w:lang w:val="nl-NL"/>
        </w:rPr>
        <w:t xml:space="preserve">en economische eenheden, </w:t>
      </w:r>
      <w:r w:rsidR="003C5AB4" w:rsidRPr="00BC74EF">
        <w:rPr>
          <w:lang w:val="nl-NL"/>
        </w:rPr>
        <w:t>zoals coöperaties.</w:t>
      </w:r>
      <w:r w:rsidR="003C5AB4" w:rsidRPr="00BC74EF">
        <w:rPr>
          <w:rStyle w:val="Voetnootmarkering"/>
          <w:lang w:val="nl-NL"/>
        </w:rPr>
        <w:footnoteReference w:id="34"/>
      </w:r>
      <w:r w:rsidR="00453C3E" w:rsidRPr="00BC74EF">
        <w:rPr>
          <w:lang w:val="nl-NL"/>
        </w:rPr>
        <w:t xml:space="preserve"> Ook moet aandacht worden besteed aan </w:t>
      </w:r>
      <w:r w:rsidR="003C5AB4" w:rsidRPr="00BC74EF">
        <w:rPr>
          <w:lang w:val="nl-NL"/>
        </w:rPr>
        <w:t>niet-discriminerende toegang tot zakelijke diensten, markten, infrastructuur en technologie, gezondheid en veiligheid op het werk</w:t>
      </w:r>
      <w:r w:rsidR="00C07823" w:rsidRPr="00BC74EF">
        <w:rPr>
          <w:lang w:val="nl-NL"/>
        </w:rPr>
        <w:t xml:space="preserve">, </w:t>
      </w:r>
      <w:r w:rsidR="003C5AB4" w:rsidRPr="00BC74EF">
        <w:rPr>
          <w:lang w:val="nl-NL"/>
        </w:rPr>
        <w:t xml:space="preserve">financiële diensten, mentorschap en netwerken. </w:t>
      </w:r>
      <w:bookmarkStart w:id="24" w:name="AP12"/>
      <w:bookmarkEnd w:id="24"/>
      <w:r w:rsidR="003C5AB4" w:rsidRPr="00BC74EF">
        <w:rPr>
          <w:lang w:val="nl-NL"/>
        </w:rPr>
        <w:t xml:space="preserve">De </w:t>
      </w:r>
      <w:r w:rsidR="003001A8">
        <w:rPr>
          <w:lang w:val="nl-NL"/>
        </w:rPr>
        <w:t>Staten die Partij</w:t>
      </w:r>
      <w:r w:rsidR="00E415FB" w:rsidRPr="00BC74EF">
        <w:rPr>
          <w:lang w:val="nl-NL"/>
        </w:rPr>
        <w:t xml:space="preserve"> zijn </w:t>
      </w:r>
      <w:r w:rsidR="003C5AB4" w:rsidRPr="00BC74EF">
        <w:rPr>
          <w:lang w:val="nl-NL"/>
        </w:rPr>
        <w:t xml:space="preserve">dienen een geïntegreerd beleidskader te </w:t>
      </w:r>
      <w:r w:rsidR="00A635F8" w:rsidRPr="00BC74EF">
        <w:rPr>
          <w:lang w:val="nl-NL"/>
        </w:rPr>
        <w:t xml:space="preserve">formuleren </w:t>
      </w:r>
      <w:r w:rsidR="003C5AB4" w:rsidRPr="00BC74EF">
        <w:rPr>
          <w:lang w:val="nl-NL"/>
        </w:rPr>
        <w:t xml:space="preserve">en uit te voeren, </w:t>
      </w:r>
      <w:r w:rsidR="00D45978" w:rsidRPr="00BC74EF">
        <w:rPr>
          <w:lang w:val="nl-NL"/>
        </w:rPr>
        <w:t xml:space="preserve">waarin ook personen met een handicap zijn opgenomen, en dat </w:t>
      </w:r>
      <w:r w:rsidR="00A635F8" w:rsidRPr="00BC74EF">
        <w:rPr>
          <w:lang w:val="nl-NL"/>
        </w:rPr>
        <w:t xml:space="preserve">zorgt voor coördinatie </w:t>
      </w:r>
      <w:r w:rsidR="003C5AB4" w:rsidRPr="00BC74EF">
        <w:rPr>
          <w:lang w:val="nl-NL"/>
        </w:rPr>
        <w:t xml:space="preserve">tussen de verschillende overheidsniveaus </w:t>
      </w:r>
      <w:r w:rsidR="00A635F8" w:rsidRPr="00BC74EF">
        <w:rPr>
          <w:lang w:val="nl-NL"/>
        </w:rPr>
        <w:t>en samenwerking tussen de betrokken instanties en autoriteiten</w:t>
      </w:r>
      <w:r w:rsidR="00C07823" w:rsidRPr="00BC74EF">
        <w:rPr>
          <w:lang w:val="nl-NL"/>
        </w:rPr>
        <w:t xml:space="preserve">, </w:t>
      </w:r>
      <w:r w:rsidR="00A635F8" w:rsidRPr="00BC74EF">
        <w:rPr>
          <w:lang w:val="nl-NL"/>
        </w:rPr>
        <w:t xml:space="preserve">zoals </w:t>
      </w:r>
      <w:r w:rsidR="003C5AB4" w:rsidRPr="00BC74EF">
        <w:rPr>
          <w:lang w:val="nl-NL"/>
        </w:rPr>
        <w:t>belastingautoriteiten en socialezekerheidsinstellingen.</w:t>
      </w:r>
      <w:r w:rsidR="003C5AB4" w:rsidRPr="00BC74EF">
        <w:rPr>
          <w:rStyle w:val="Voetnootmarkering"/>
          <w:lang w:val="nl-NL"/>
        </w:rPr>
        <w:footnoteReference w:id="35"/>
      </w:r>
    </w:p>
    <w:p w14:paraId="1155DA2F" w14:textId="77777777" w:rsidR="00F6202B" w:rsidRPr="00BC74EF" w:rsidRDefault="002755DB">
      <w:pPr>
        <w:pStyle w:val="H1G"/>
        <w:rPr>
          <w:lang w:val="nl-NL"/>
        </w:rPr>
      </w:pPr>
      <w:r w:rsidRPr="00BC74EF">
        <w:rPr>
          <w:lang w:val="nl-NL"/>
        </w:rPr>
        <w:tab/>
      </w:r>
      <w:r w:rsidR="00E65790" w:rsidRPr="00BC74EF">
        <w:rPr>
          <w:lang w:val="nl-NL"/>
        </w:rPr>
        <w:t>H.</w:t>
      </w:r>
      <w:r w:rsidRPr="00BC74EF">
        <w:rPr>
          <w:lang w:val="nl-NL"/>
        </w:rPr>
        <w:tab/>
      </w:r>
      <w:r w:rsidR="003C5AB4" w:rsidRPr="00BC74EF">
        <w:rPr>
          <w:lang w:val="nl-NL"/>
        </w:rPr>
        <w:t xml:space="preserve">Werkgelegenheid in de overheidssector </w:t>
      </w:r>
      <w:r w:rsidR="0011333D" w:rsidRPr="00BC74EF">
        <w:rPr>
          <w:lang w:val="nl-NL"/>
        </w:rPr>
        <w:t>(artikel 27, lid 1, onder g))</w:t>
      </w:r>
    </w:p>
    <w:p w14:paraId="25A00921" w14:textId="079BC55E" w:rsidR="00F6202B" w:rsidRPr="00BC74EF" w:rsidRDefault="00357CBC">
      <w:pPr>
        <w:pStyle w:val="SingleTxtG"/>
        <w:tabs>
          <w:tab w:val="clear" w:pos="2268"/>
        </w:tabs>
        <w:rPr>
          <w:lang w:val="nl-NL"/>
        </w:rPr>
      </w:pPr>
      <w:r>
        <w:rPr>
          <w:lang w:val="nl-NL"/>
        </w:rPr>
        <w:t>40</w:t>
      </w:r>
      <w:r w:rsidR="0006414B" w:rsidRPr="00BC74EF">
        <w:rPr>
          <w:lang w:val="nl-NL"/>
        </w:rPr>
        <w:t>.</w:t>
      </w:r>
      <w:r w:rsidR="0006414B" w:rsidRPr="00BC74EF">
        <w:rPr>
          <w:lang w:val="nl-NL"/>
        </w:rPr>
        <w:tab/>
      </w:r>
      <w:r w:rsidR="00A033FC" w:rsidRPr="00BC74EF">
        <w:rPr>
          <w:lang w:val="nl-NL"/>
        </w:rPr>
        <w:t xml:space="preserve">De </w:t>
      </w:r>
      <w:r w:rsidR="003C5AB4" w:rsidRPr="00BC74EF">
        <w:rPr>
          <w:lang w:val="nl-NL"/>
        </w:rPr>
        <w:t xml:space="preserve">bepalingen </w:t>
      </w:r>
      <w:r w:rsidR="00A033FC" w:rsidRPr="00BC74EF">
        <w:rPr>
          <w:lang w:val="nl-NL"/>
        </w:rPr>
        <w:t xml:space="preserve">van </w:t>
      </w:r>
      <w:r w:rsidR="003C5AB4" w:rsidRPr="00BC74EF">
        <w:rPr>
          <w:lang w:val="nl-NL"/>
        </w:rPr>
        <w:t xml:space="preserve">andere </w:t>
      </w:r>
      <w:r w:rsidR="003E31BE">
        <w:rPr>
          <w:lang w:val="nl-NL"/>
        </w:rPr>
        <w:t>leden</w:t>
      </w:r>
      <w:r w:rsidR="003C5AB4" w:rsidRPr="00BC74EF">
        <w:rPr>
          <w:lang w:val="nl-NL"/>
        </w:rPr>
        <w:t xml:space="preserve"> van artikel 27 zijn gelijkelijk van toepassing op de openbare </w:t>
      </w:r>
      <w:r w:rsidR="00A033FC" w:rsidRPr="00BC74EF">
        <w:rPr>
          <w:lang w:val="nl-NL"/>
        </w:rPr>
        <w:t>en de particuliere sector</w:t>
      </w:r>
      <w:r w:rsidR="003C5AB4" w:rsidRPr="00BC74EF">
        <w:rPr>
          <w:lang w:val="nl-NL"/>
        </w:rPr>
        <w:t xml:space="preserve">. Wanneer de </w:t>
      </w:r>
      <w:r w:rsidR="00414CCB">
        <w:rPr>
          <w:lang w:val="nl-NL"/>
        </w:rPr>
        <w:t>Staat die Partij</w:t>
      </w:r>
      <w:r w:rsidR="003C5AB4" w:rsidRPr="00BC74EF">
        <w:rPr>
          <w:lang w:val="nl-NL"/>
        </w:rPr>
        <w:t xml:space="preserve"> is echter </w:t>
      </w:r>
      <w:r w:rsidR="00A033FC" w:rsidRPr="00BC74EF">
        <w:rPr>
          <w:lang w:val="nl-NL"/>
        </w:rPr>
        <w:t xml:space="preserve">de </w:t>
      </w:r>
      <w:r w:rsidR="003C5AB4" w:rsidRPr="00BC74EF">
        <w:rPr>
          <w:lang w:val="nl-NL"/>
        </w:rPr>
        <w:t>werkgever is</w:t>
      </w:r>
      <w:r w:rsidR="00A033FC" w:rsidRPr="00BC74EF">
        <w:rPr>
          <w:lang w:val="nl-NL"/>
        </w:rPr>
        <w:t xml:space="preserve">, dient </w:t>
      </w:r>
      <w:r w:rsidR="003C5AB4" w:rsidRPr="00BC74EF">
        <w:rPr>
          <w:lang w:val="nl-NL"/>
        </w:rPr>
        <w:t>hij een str</w:t>
      </w:r>
      <w:r w:rsidR="00414CCB">
        <w:rPr>
          <w:lang w:val="nl-NL"/>
        </w:rPr>
        <w:t>iktere</w:t>
      </w:r>
      <w:r w:rsidR="003C5AB4" w:rsidRPr="00BC74EF">
        <w:rPr>
          <w:lang w:val="nl-NL"/>
        </w:rPr>
        <w:t xml:space="preserve"> aanpak van de integratie te hanteren. De </w:t>
      </w:r>
      <w:r w:rsidR="003001A8">
        <w:rPr>
          <w:lang w:val="nl-NL"/>
        </w:rPr>
        <w:t>Staten die Partij</w:t>
      </w:r>
      <w:r w:rsidR="003C5AB4" w:rsidRPr="00BC74EF">
        <w:rPr>
          <w:lang w:val="nl-NL"/>
        </w:rPr>
        <w:t xml:space="preserve"> </w:t>
      </w:r>
      <w:r w:rsidR="00E415FB" w:rsidRPr="00BC74EF">
        <w:rPr>
          <w:lang w:val="nl-NL"/>
        </w:rPr>
        <w:t xml:space="preserve">zijn dienen </w:t>
      </w:r>
      <w:r w:rsidR="003C5AB4" w:rsidRPr="00BC74EF">
        <w:rPr>
          <w:lang w:val="nl-NL"/>
        </w:rPr>
        <w:t xml:space="preserve">objectieve normen </w:t>
      </w:r>
      <w:r w:rsidR="003E31BE">
        <w:rPr>
          <w:lang w:val="nl-NL"/>
        </w:rPr>
        <w:t>vast te stellen</w:t>
      </w:r>
      <w:r w:rsidR="003C5AB4" w:rsidRPr="00BC74EF">
        <w:rPr>
          <w:lang w:val="nl-NL"/>
        </w:rPr>
        <w:t xml:space="preserve"> voor het aan</w:t>
      </w:r>
      <w:r w:rsidR="00947A26">
        <w:rPr>
          <w:lang w:val="nl-NL"/>
        </w:rPr>
        <w:t>werve</w:t>
      </w:r>
      <w:r w:rsidR="003C5AB4" w:rsidRPr="00BC74EF">
        <w:rPr>
          <w:lang w:val="nl-NL"/>
        </w:rPr>
        <w:t xml:space="preserve">n en bevorderen van personen met een handicap </w:t>
      </w:r>
      <w:r w:rsidR="00A033FC" w:rsidRPr="00BC74EF">
        <w:rPr>
          <w:lang w:val="nl-NL"/>
        </w:rPr>
        <w:t xml:space="preserve">op basis van verdienste </w:t>
      </w:r>
      <w:r w:rsidR="003C5AB4" w:rsidRPr="00BC74EF">
        <w:rPr>
          <w:lang w:val="nl-NL"/>
        </w:rPr>
        <w:t xml:space="preserve">en zich </w:t>
      </w:r>
      <w:r w:rsidR="003E31BE">
        <w:rPr>
          <w:lang w:val="nl-NL"/>
        </w:rPr>
        <w:t xml:space="preserve">ertoe te verbinden het aantal </w:t>
      </w:r>
      <w:r w:rsidR="003C5AB4" w:rsidRPr="00BC74EF">
        <w:rPr>
          <w:lang w:val="nl-NL"/>
        </w:rPr>
        <w:t>werknemers met een handicap</w:t>
      </w:r>
      <w:r w:rsidR="003E31BE">
        <w:rPr>
          <w:lang w:val="nl-NL"/>
        </w:rPr>
        <w:t xml:space="preserve"> te vergroten</w:t>
      </w:r>
      <w:r w:rsidR="003C5AB4" w:rsidRPr="00BC74EF">
        <w:rPr>
          <w:lang w:val="nl-NL"/>
        </w:rPr>
        <w:t xml:space="preserve">. Indien nodig dienen specifieke maatregelen te worden </w:t>
      </w:r>
      <w:r w:rsidR="00A033FC" w:rsidRPr="00BC74EF">
        <w:rPr>
          <w:lang w:val="nl-NL"/>
        </w:rPr>
        <w:t xml:space="preserve">genomen </w:t>
      </w:r>
      <w:r w:rsidR="003C5AB4" w:rsidRPr="00BC74EF">
        <w:rPr>
          <w:lang w:val="nl-NL"/>
        </w:rPr>
        <w:t xml:space="preserve">om bewustzijn binnen de overheidssector op te bouwen, personen met een handicap </w:t>
      </w:r>
      <w:r w:rsidR="00947A26">
        <w:rPr>
          <w:lang w:val="nl-NL"/>
        </w:rPr>
        <w:t>aan te trekken</w:t>
      </w:r>
      <w:r w:rsidR="003C5AB4" w:rsidRPr="00BC74EF">
        <w:rPr>
          <w:lang w:val="nl-NL"/>
        </w:rPr>
        <w:t xml:space="preserve"> en </w:t>
      </w:r>
      <w:r w:rsidR="00947A26">
        <w:rPr>
          <w:lang w:val="nl-NL"/>
        </w:rPr>
        <w:t xml:space="preserve">aan </w:t>
      </w:r>
      <w:r w:rsidR="003C5AB4" w:rsidRPr="00BC74EF">
        <w:rPr>
          <w:lang w:val="nl-NL"/>
        </w:rPr>
        <w:t>te werven en werknemers in de overheidssector met een handicap te ondersteunen</w:t>
      </w:r>
      <w:r w:rsidR="00A033FC" w:rsidRPr="00BC74EF">
        <w:rPr>
          <w:lang w:val="nl-NL"/>
        </w:rPr>
        <w:t xml:space="preserve">, teneinde </w:t>
      </w:r>
      <w:r w:rsidR="003C5AB4" w:rsidRPr="00BC74EF">
        <w:rPr>
          <w:lang w:val="nl-NL"/>
        </w:rPr>
        <w:t xml:space="preserve">de diversiteit van de </w:t>
      </w:r>
      <w:r w:rsidR="00947A26">
        <w:rPr>
          <w:lang w:val="nl-NL"/>
        </w:rPr>
        <w:t xml:space="preserve">maatschappij </w:t>
      </w:r>
      <w:r w:rsidR="003C5AB4" w:rsidRPr="00BC74EF">
        <w:rPr>
          <w:lang w:val="nl-NL"/>
        </w:rPr>
        <w:t xml:space="preserve">te </w:t>
      </w:r>
      <w:r w:rsidR="00A033FC" w:rsidRPr="00BC74EF">
        <w:rPr>
          <w:lang w:val="nl-NL"/>
        </w:rPr>
        <w:t xml:space="preserve">weerspiegelen </w:t>
      </w:r>
      <w:r w:rsidR="003C5AB4" w:rsidRPr="00BC74EF">
        <w:rPr>
          <w:lang w:val="nl-NL"/>
        </w:rPr>
        <w:t xml:space="preserve">en </w:t>
      </w:r>
      <w:r w:rsidR="00947A26">
        <w:rPr>
          <w:lang w:val="nl-NL"/>
        </w:rPr>
        <w:t xml:space="preserve">gebruik te maken van de </w:t>
      </w:r>
      <w:r w:rsidR="00A033FC" w:rsidRPr="00BC74EF">
        <w:rPr>
          <w:lang w:val="nl-NL"/>
        </w:rPr>
        <w:t>ervaring</w:t>
      </w:r>
      <w:r w:rsidR="003E31BE">
        <w:rPr>
          <w:lang w:val="nl-NL"/>
        </w:rPr>
        <w:t xml:space="preserve"> </w:t>
      </w:r>
      <w:r w:rsidR="003C5AB4" w:rsidRPr="00BC74EF">
        <w:rPr>
          <w:lang w:val="nl-NL"/>
        </w:rPr>
        <w:t>van personen met een handicap.</w:t>
      </w:r>
    </w:p>
    <w:p w14:paraId="078AF87B" w14:textId="03C46F5E" w:rsidR="00F6202B" w:rsidRPr="00BC74EF" w:rsidRDefault="002755DB">
      <w:pPr>
        <w:pStyle w:val="SingleTxtG"/>
        <w:tabs>
          <w:tab w:val="clear" w:pos="2268"/>
        </w:tabs>
        <w:rPr>
          <w:lang w:val="nl-NL"/>
        </w:rPr>
      </w:pPr>
      <w:bookmarkStart w:id="25" w:name="_Hlk83849922"/>
      <w:r w:rsidRPr="00BC74EF">
        <w:rPr>
          <w:lang w:val="nl-NL"/>
        </w:rPr>
        <w:t>4</w:t>
      </w:r>
      <w:r w:rsidR="00357CBC">
        <w:rPr>
          <w:lang w:val="nl-NL"/>
        </w:rPr>
        <w:t>1</w:t>
      </w:r>
      <w:r w:rsidR="0006414B" w:rsidRPr="00BC74EF">
        <w:rPr>
          <w:lang w:val="nl-NL"/>
        </w:rPr>
        <w:t>.</w:t>
      </w:r>
      <w:r w:rsidR="0006414B" w:rsidRPr="00BC74EF">
        <w:rPr>
          <w:lang w:val="nl-NL"/>
        </w:rPr>
        <w:tab/>
      </w:r>
      <w:r w:rsidR="003E31BE">
        <w:rPr>
          <w:lang w:val="nl-NL"/>
        </w:rPr>
        <w:t xml:space="preserve">Teneinde de werkgelegenheid voor personen met een handicap </w:t>
      </w:r>
      <w:r w:rsidR="003E31BE" w:rsidRPr="00BC74EF">
        <w:rPr>
          <w:lang w:val="nl-NL"/>
        </w:rPr>
        <w:t>in de publieke sector te vergroten</w:t>
      </w:r>
      <w:r w:rsidR="003E31BE">
        <w:rPr>
          <w:lang w:val="nl-NL"/>
        </w:rPr>
        <w:t>, heeft h</w:t>
      </w:r>
      <w:r w:rsidR="003C5AB4" w:rsidRPr="00BC74EF">
        <w:rPr>
          <w:lang w:val="nl-NL"/>
        </w:rPr>
        <w:t xml:space="preserve">et Comité de </w:t>
      </w:r>
      <w:r w:rsidR="003001A8">
        <w:rPr>
          <w:lang w:val="nl-NL"/>
        </w:rPr>
        <w:t>Staten die Partij</w:t>
      </w:r>
      <w:r w:rsidR="00E415FB" w:rsidRPr="00BC74EF">
        <w:rPr>
          <w:lang w:val="nl-NL"/>
        </w:rPr>
        <w:t xml:space="preserve"> zijn </w:t>
      </w:r>
      <w:r w:rsidR="003C5AB4" w:rsidRPr="00BC74EF">
        <w:rPr>
          <w:lang w:val="nl-NL"/>
        </w:rPr>
        <w:t>aanbevolen om</w:t>
      </w:r>
      <w:r w:rsidR="003E31BE">
        <w:rPr>
          <w:lang w:val="nl-NL"/>
        </w:rPr>
        <w:t xml:space="preserve"> </w:t>
      </w:r>
      <w:r w:rsidR="003C5AB4" w:rsidRPr="00BC74EF">
        <w:rPr>
          <w:lang w:val="nl-NL"/>
        </w:rPr>
        <w:t xml:space="preserve">maatregelen voor positieve actie te ontwikkelen en uit te voeren, </w:t>
      </w:r>
      <w:r w:rsidR="00AF0F6E" w:rsidRPr="00BC74EF">
        <w:rPr>
          <w:lang w:val="nl-NL"/>
        </w:rPr>
        <w:t xml:space="preserve">zoals </w:t>
      </w:r>
      <w:r w:rsidR="00B37AB3" w:rsidRPr="00BC74EF">
        <w:rPr>
          <w:lang w:val="nl-NL"/>
        </w:rPr>
        <w:t xml:space="preserve">de toewijzing van </w:t>
      </w:r>
      <w:r w:rsidR="003C5AB4" w:rsidRPr="00BC74EF">
        <w:rPr>
          <w:lang w:val="nl-NL"/>
        </w:rPr>
        <w:t>gerichte financiering ter bevordering van de werkgelegenheid voor</w:t>
      </w:r>
      <w:r w:rsidR="00FF34DA">
        <w:rPr>
          <w:lang w:val="nl-NL"/>
        </w:rPr>
        <w:t xml:space="preserve"> personen met een handicap </w:t>
      </w:r>
      <w:r w:rsidR="00B37AB3" w:rsidRPr="00BC74EF">
        <w:rPr>
          <w:lang w:val="nl-NL"/>
        </w:rPr>
        <w:t>in de publieke en particuliere sector</w:t>
      </w:r>
      <w:r w:rsidR="00AF0F6E" w:rsidRPr="00BC74EF">
        <w:rPr>
          <w:lang w:val="nl-NL"/>
        </w:rPr>
        <w:t xml:space="preserve">, met inbegrip van </w:t>
      </w:r>
      <w:r w:rsidR="003C5AB4" w:rsidRPr="00BC74EF">
        <w:rPr>
          <w:lang w:val="nl-NL"/>
        </w:rPr>
        <w:t>beroepsopleiding</w:t>
      </w:r>
      <w:r w:rsidR="003E31BE">
        <w:rPr>
          <w:lang w:val="nl-NL"/>
        </w:rPr>
        <w:t>sprogramma’s</w:t>
      </w:r>
      <w:r w:rsidR="003C5AB4" w:rsidRPr="00BC74EF">
        <w:rPr>
          <w:lang w:val="nl-NL"/>
        </w:rPr>
        <w:t>.</w:t>
      </w:r>
      <w:r w:rsidR="003C5AB4" w:rsidRPr="00BC74EF">
        <w:rPr>
          <w:rStyle w:val="Voetnootmarkering"/>
          <w:lang w:val="nl-NL"/>
        </w:rPr>
        <w:footnoteReference w:id="36"/>
      </w:r>
      <w:r w:rsidR="003C5AB4" w:rsidRPr="00BC74EF">
        <w:rPr>
          <w:lang w:val="nl-NL"/>
        </w:rPr>
        <w:t xml:space="preserve"> </w:t>
      </w:r>
      <w:r w:rsidR="003E31BE">
        <w:rPr>
          <w:lang w:val="nl-NL"/>
        </w:rPr>
        <w:t>Andere</w:t>
      </w:r>
      <w:r w:rsidR="003C5AB4" w:rsidRPr="00BC74EF">
        <w:rPr>
          <w:lang w:val="nl-NL"/>
        </w:rPr>
        <w:t xml:space="preserve"> </w:t>
      </w:r>
      <w:r w:rsidR="003E31BE">
        <w:rPr>
          <w:lang w:val="nl-NL"/>
        </w:rPr>
        <w:t xml:space="preserve">mogelijke </w:t>
      </w:r>
      <w:r w:rsidR="003C5AB4" w:rsidRPr="00BC74EF">
        <w:rPr>
          <w:lang w:val="nl-NL"/>
        </w:rPr>
        <w:t xml:space="preserve">maatregelen omvatten quota </w:t>
      </w:r>
      <w:r w:rsidR="00947A26">
        <w:rPr>
          <w:lang w:val="nl-NL"/>
        </w:rPr>
        <w:t>(</w:t>
      </w:r>
      <w:r w:rsidR="00FB148A" w:rsidRPr="00BC74EF">
        <w:rPr>
          <w:lang w:val="nl-NL"/>
        </w:rPr>
        <w:t xml:space="preserve">een </w:t>
      </w:r>
      <w:r w:rsidR="00257C40" w:rsidRPr="00BC74EF">
        <w:rPr>
          <w:lang w:val="nl-NL"/>
        </w:rPr>
        <w:t xml:space="preserve">vereiste </w:t>
      </w:r>
      <w:r w:rsidR="00257C40" w:rsidRPr="00BC74EF">
        <w:rPr>
          <w:iCs/>
          <w:lang w:val="nl-NL"/>
        </w:rPr>
        <w:t>om ten minste een bepaald percentage werknemers</w:t>
      </w:r>
      <w:r w:rsidR="00947A26">
        <w:rPr>
          <w:iCs/>
          <w:lang w:val="nl-NL"/>
        </w:rPr>
        <w:t xml:space="preserve"> met een handicap</w:t>
      </w:r>
      <w:r w:rsidR="00257C40" w:rsidRPr="00BC74EF">
        <w:rPr>
          <w:iCs/>
          <w:lang w:val="nl-NL"/>
        </w:rPr>
        <w:t xml:space="preserve"> in dienst te </w:t>
      </w:r>
      <w:r w:rsidR="00FB148A" w:rsidRPr="00BC74EF">
        <w:rPr>
          <w:iCs/>
          <w:lang w:val="nl-NL"/>
        </w:rPr>
        <w:t>nemen</w:t>
      </w:r>
      <w:r w:rsidR="00947A26">
        <w:rPr>
          <w:iCs/>
          <w:lang w:val="nl-NL"/>
        </w:rPr>
        <w:t>)</w:t>
      </w:r>
      <w:r w:rsidR="006A0BAE" w:rsidRPr="00BC74EF">
        <w:rPr>
          <w:iCs/>
          <w:lang w:val="nl-NL"/>
        </w:rPr>
        <w:t xml:space="preserve">, </w:t>
      </w:r>
      <w:r w:rsidR="003C5AB4" w:rsidRPr="00BC74EF">
        <w:rPr>
          <w:lang w:val="nl-NL"/>
        </w:rPr>
        <w:t xml:space="preserve">of streefcijfers </w:t>
      </w:r>
      <w:r w:rsidR="00947A26">
        <w:rPr>
          <w:lang w:val="nl-NL"/>
        </w:rPr>
        <w:t>(</w:t>
      </w:r>
      <w:r w:rsidR="00465FE5" w:rsidRPr="00BC74EF">
        <w:rPr>
          <w:lang w:val="nl-NL"/>
        </w:rPr>
        <w:t xml:space="preserve">onbepaalde </w:t>
      </w:r>
      <w:r w:rsidR="00FB148A" w:rsidRPr="00BC74EF">
        <w:rPr>
          <w:lang w:val="nl-NL"/>
        </w:rPr>
        <w:t>doelstellingen</w:t>
      </w:r>
      <w:r w:rsidR="00947A26">
        <w:rPr>
          <w:lang w:val="nl-NL"/>
        </w:rPr>
        <w:t>)</w:t>
      </w:r>
      <w:r w:rsidR="003C5AB4" w:rsidRPr="00BC74EF">
        <w:rPr>
          <w:lang w:val="nl-NL"/>
        </w:rPr>
        <w:t xml:space="preserve">. Alle </w:t>
      </w:r>
      <w:r w:rsidR="003C5AB4" w:rsidRPr="00BC74EF">
        <w:rPr>
          <w:lang w:val="nl-NL"/>
        </w:rPr>
        <w:lastRenderedPageBreak/>
        <w:t xml:space="preserve">maatregelen moeten vergezeld gaan van een jaarlijkse rapportage over </w:t>
      </w:r>
      <w:r w:rsidR="00AF0F6E" w:rsidRPr="00BC74EF">
        <w:rPr>
          <w:lang w:val="nl-NL"/>
        </w:rPr>
        <w:t xml:space="preserve">de naleving ervan door </w:t>
      </w:r>
      <w:r w:rsidR="003C5AB4" w:rsidRPr="00BC74EF">
        <w:rPr>
          <w:lang w:val="nl-NL"/>
        </w:rPr>
        <w:t>de overheid.</w:t>
      </w:r>
    </w:p>
    <w:bookmarkEnd w:id="25"/>
    <w:p w14:paraId="796B30B7" w14:textId="39A50B9C" w:rsidR="00F6202B" w:rsidRPr="00BC74EF" w:rsidRDefault="002755DB">
      <w:pPr>
        <w:pStyle w:val="H1G"/>
        <w:rPr>
          <w:lang w:val="nl-NL"/>
        </w:rPr>
      </w:pPr>
      <w:r w:rsidRPr="00BC74EF">
        <w:rPr>
          <w:lang w:val="nl-NL"/>
        </w:rPr>
        <w:tab/>
      </w:r>
      <w:r w:rsidR="00E65790" w:rsidRPr="00BC74EF">
        <w:rPr>
          <w:lang w:val="nl-NL"/>
        </w:rPr>
        <w:t>I.</w:t>
      </w:r>
      <w:r w:rsidRPr="00BC74EF">
        <w:rPr>
          <w:lang w:val="nl-NL"/>
        </w:rPr>
        <w:tab/>
      </w:r>
      <w:r w:rsidR="00AF0F6E" w:rsidRPr="00BC74EF">
        <w:rPr>
          <w:lang w:val="nl-NL"/>
        </w:rPr>
        <w:t xml:space="preserve">Bevordering van </w:t>
      </w:r>
      <w:r w:rsidR="003C5AB4" w:rsidRPr="00BC74EF">
        <w:rPr>
          <w:lang w:val="nl-NL"/>
        </w:rPr>
        <w:t>de werkgelegenheid in de particuliere sector</w:t>
      </w:r>
      <w:r w:rsidR="000C729E" w:rsidRPr="00BC74EF">
        <w:rPr>
          <w:lang w:val="nl-NL"/>
        </w:rPr>
        <w:t xml:space="preserve">, </w:t>
      </w:r>
      <w:r w:rsidR="003E31BE">
        <w:rPr>
          <w:lang w:val="nl-NL"/>
        </w:rPr>
        <w:t xml:space="preserve">mede door middel van programma’s voor </w:t>
      </w:r>
      <w:r w:rsidR="003C5AB4" w:rsidRPr="00BC74EF">
        <w:rPr>
          <w:lang w:val="nl-NL"/>
        </w:rPr>
        <w:t>positieve</w:t>
      </w:r>
      <w:r w:rsidR="003E31BE">
        <w:rPr>
          <w:lang w:val="nl-NL"/>
        </w:rPr>
        <w:t xml:space="preserve"> </w:t>
      </w:r>
      <w:r w:rsidR="003C5AB4" w:rsidRPr="00BC74EF">
        <w:rPr>
          <w:lang w:val="nl-NL"/>
        </w:rPr>
        <w:t xml:space="preserve">actie </w:t>
      </w:r>
      <w:r w:rsidR="000C729E" w:rsidRPr="00BC74EF">
        <w:rPr>
          <w:lang w:val="nl-NL"/>
        </w:rPr>
        <w:t>(artikel 27, lid 1, onder h))</w:t>
      </w:r>
    </w:p>
    <w:p w14:paraId="2038D8DD" w14:textId="0F999F1C" w:rsidR="00F6202B" w:rsidRPr="00BC74EF" w:rsidRDefault="00431A14">
      <w:pPr>
        <w:pStyle w:val="SingleTxtG"/>
        <w:tabs>
          <w:tab w:val="clear" w:pos="2268"/>
        </w:tabs>
        <w:rPr>
          <w:lang w:val="nl-NL"/>
        </w:rPr>
      </w:pPr>
      <w:r w:rsidRPr="00BC74EF">
        <w:rPr>
          <w:lang w:val="nl-NL"/>
        </w:rPr>
        <w:t>4</w:t>
      </w:r>
      <w:r w:rsidR="00357CBC">
        <w:rPr>
          <w:lang w:val="nl-NL"/>
        </w:rPr>
        <w:t>2</w:t>
      </w:r>
      <w:r w:rsidRPr="00BC74EF">
        <w:rPr>
          <w:lang w:val="nl-NL"/>
        </w:rPr>
        <w:t>.</w:t>
      </w:r>
      <w:r w:rsidRPr="00BC74EF">
        <w:rPr>
          <w:lang w:val="nl-NL"/>
        </w:rPr>
        <w:tab/>
      </w:r>
      <w:r w:rsidR="003C5AB4" w:rsidRPr="00BC74EF">
        <w:rPr>
          <w:lang w:val="nl-NL"/>
        </w:rPr>
        <w:t xml:space="preserve">Het Comité heeft de </w:t>
      </w:r>
      <w:r w:rsidR="003001A8">
        <w:rPr>
          <w:lang w:val="nl-NL"/>
        </w:rPr>
        <w:t>Staten die Partij</w:t>
      </w:r>
      <w:r w:rsidR="00E415FB" w:rsidRPr="00BC74EF">
        <w:rPr>
          <w:lang w:val="nl-NL"/>
        </w:rPr>
        <w:t xml:space="preserve"> zijn </w:t>
      </w:r>
      <w:r w:rsidR="003C5AB4" w:rsidRPr="00BC74EF">
        <w:rPr>
          <w:lang w:val="nl-NL"/>
        </w:rPr>
        <w:t>strategieën aanbevolen om de werkgelegenheid voor</w:t>
      </w:r>
      <w:r w:rsidR="00FF34DA">
        <w:rPr>
          <w:lang w:val="nl-NL"/>
        </w:rPr>
        <w:t xml:space="preserve"> personen met een handicap </w:t>
      </w:r>
      <w:r w:rsidR="003C5AB4" w:rsidRPr="00BC74EF">
        <w:rPr>
          <w:lang w:val="nl-NL"/>
        </w:rPr>
        <w:t xml:space="preserve">in de overheidssector te vergroten, die eveneens van toepassing zijn op de particuliere sector. </w:t>
      </w:r>
      <w:r w:rsidR="00947A26">
        <w:rPr>
          <w:lang w:val="nl-NL"/>
        </w:rPr>
        <w:t>S</w:t>
      </w:r>
      <w:r w:rsidR="003C5AB4" w:rsidRPr="00BC74EF">
        <w:rPr>
          <w:lang w:val="nl-NL"/>
        </w:rPr>
        <w:t xml:space="preserve">pecifieke maatregelen voor positieve actie </w:t>
      </w:r>
      <w:r w:rsidR="00947A26">
        <w:rPr>
          <w:lang w:val="nl-NL"/>
        </w:rPr>
        <w:t xml:space="preserve">kunnen </w:t>
      </w:r>
      <w:r w:rsidR="00405F57" w:rsidRPr="00BC74EF">
        <w:rPr>
          <w:lang w:val="nl-NL"/>
        </w:rPr>
        <w:t xml:space="preserve">nodig zijn, </w:t>
      </w:r>
      <w:r w:rsidR="003C5AB4" w:rsidRPr="00BC74EF">
        <w:rPr>
          <w:lang w:val="nl-NL"/>
        </w:rPr>
        <w:t>zoals quota om de werkgelegenheid voor</w:t>
      </w:r>
      <w:r w:rsidR="00FF34DA">
        <w:rPr>
          <w:lang w:val="nl-NL"/>
        </w:rPr>
        <w:t xml:space="preserve"> personen met een handicap </w:t>
      </w:r>
      <w:r w:rsidR="003C5AB4" w:rsidRPr="00BC74EF">
        <w:rPr>
          <w:lang w:val="nl-NL"/>
        </w:rPr>
        <w:t xml:space="preserve">in de particuliere sector te vergroten. </w:t>
      </w:r>
      <w:r w:rsidR="00947A26">
        <w:rPr>
          <w:lang w:val="nl-NL"/>
        </w:rPr>
        <w:t>Quota volstaan echter niet</w:t>
      </w:r>
      <w:r w:rsidR="003C5AB4" w:rsidRPr="00BC74EF">
        <w:rPr>
          <w:lang w:val="nl-NL"/>
        </w:rPr>
        <w:t xml:space="preserve"> om de werkgelegenheid van</w:t>
      </w:r>
      <w:r w:rsidR="00FF34DA">
        <w:rPr>
          <w:lang w:val="nl-NL"/>
        </w:rPr>
        <w:t xml:space="preserve"> personen met een handicap </w:t>
      </w:r>
      <w:r w:rsidR="003C5AB4" w:rsidRPr="00BC74EF">
        <w:rPr>
          <w:lang w:val="nl-NL"/>
        </w:rPr>
        <w:t>te bevorderen</w:t>
      </w:r>
      <w:r w:rsidR="00947A26">
        <w:rPr>
          <w:lang w:val="nl-NL"/>
        </w:rPr>
        <w:t>,</w:t>
      </w:r>
      <w:r w:rsidR="003C5AB4" w:rsidRPr="00BC74EF">
        <w:rPr>
          <w:lang w:val="nl-NL"/>
        </w:rPr>
        <w:t xml:space="preserve"> en</w:t>
      </w:r>
      <w:r w:rsidR="00947A26">
        <w:rPr>
          <w:lang w:val="nl-NL"/>
        </w:rPr>
        <w:t xml:space="preserve"> kunnen op</w:t>
      </w:r>
      <w:r w:rsidR="003C5AB4" w:rsidRPr="00BC74EF">
        <w:rPr>
          <w:lang w:val="nl-NL"/>
        </w:rPr>
        <w:t xml:space="preserve"> weerstand stuiten bij</w:t>
      </w:r>
      <w:r w:rsidR="00FF34DA">
        <w:rPr>
          <w:lang w:val="nl-NL"/>
        </w:rPr>
        <w:t xml:space="preserve"> personen met een handicap </w:t>
      </w:r>
      <w:r w:rsidR="003C5AB4" w:rsidRPr="00BC74EF">
        <w:rPr>
          <w:lang w:val="nl-NL"/>
        </w:rPr>
        <w:t xml:space="preserve">indien het systeem eerder gericht is op handicap dan op capaciteiten. Quota roepen ook vragen op </w:t>
      </w:r>
      <w:r w:rsidR="00947A26">
        <w:rPr>
          <w:lang w:val="nl-NL"/>
        </w:rPr>
        <w:t xml:space="preserve">met betrekking tot </w:t>
      </w:r>
      <w:r w:rsidR="003C5AB4" w:rsidRPr="00BC74EF">
        <w:rPr>
          <w:lang w:val="nl-NL"/>
        </w:rPr>
        <w:t xml:space="preserve">vertrouwelijkheid. Andere maatregelen voor positieve actie </w:t>
      </w:r>
      <w:r w:rsidR="003E31BE">
        <w:rPr>
          <w:lang w:val="nl-NL"/>
        </w:rPr>
        <w:t>kunnen betrekking hebben op</w:t>
      </w:r>
      <w:r w:rsidR="00257C40" w:rsidRPr="00BC74EF">
        <w:rPr>
          <w:lang w:val="nl-NL"/>
        </w:rPr>
        <w:t xml:space="preserve"> overheidsopdrachten, zoals aanbestedingsprocedures die bedrijven bevoordelen die eigendom zijn van</w:t>
      </w:r>
      <w:r w:rsidR="00FF34DA">
        <w:rPr>
          <w:lang w:val="nl-NL"/>
        </w:rPr>
        <w:t xml:space="preserve"> </w:t>
      </w:r>
      <w:r w:rsidR="003E31BE">
        <w:rPr>
          <w:lang w:val="nl-NL"/>
        </w:rPr>
        <w:t xml:space="preserve">of werk bieden aan </w:t>
      </w:r>
      <w:r w:rsidR="00FF34DA">
        <w:rPr>
          <w:lang w:val="nl-NL"/>
        </w:rPr>
        <w:t>personen met een handicap</w:t>
      </w:r>
      <w:r w:rsidR="00257C40" w:rsidRPr="00BC74EF">
        <w:rPr>
          <w:lang w:val="nl-NL"/>
        </w:rPr>
        <w:t>, en</w:t>
      </w:r>
      <w:r w:rsidR="003E31BE">
        <w:rPr>
          <w:lang w:val="nl-NL"/>
        </w:rPr>
        <w:t xml:space="preserve"> de</w:t>
      </w:r>
      <w:r w:rsidR="00257C40" w:rsidRPr="00BC74EF">
        <w:rPr>
          <w:lang w:val="nl-NL"/>
        </w:rPr>
        <w:t xml:space="preserve"> </w:t>
      </w:r>
      <w:r w:rsidR="003C5AB4" w:rsidRPr="00BC74EF">
        <w:rPr>
          <w:lang w:val="nl-NL"/>
        </w:rPr>
        <w:t xml:space="preserve">gerichte financiering ter bevordering van de werkgelegenheid voor </w:t>
      </w:r>
      <w:r w:rsidR="0050508C">
        <w:rPr>
          <w:lang w:val="nl-NL"/>
        </w:rPr>
        <w:t>personen met een handicap</w:t>
      </w:r>
      <w:r w:rsidR="00652493" w:rsidRPr="00BC74EF">
        <w:rPr>
          <w:lang w:val="nl-NL"/>
        </w:rPr>
        <w:t xml:space="preserve">, </w:t>
      </w:r>
      <w:r w:rsidR="003C5AB4" w:rsidRPr="00BC74EF">
        <w:rPr>
          <w:lang w:val="nl-NL"/>
        </w:rPr>
        <w:t xml:space="preserve">zoals aanpassingen van de werkomgeving, </w:t>
      </w:r>
      <w:r w:rsidR="003E31BE">
        <w:rPr>
          <w:lang w:val="nl-NL"/>
        </w:rPr>
        <w:t>stagepremies</w:t>
      </w:r>
      <w:r w:rsidR="003C5AB4" w:rsidRPr="00BC74EF">
        <w:rPr>
          <w:lang w:val="nl-NL"/>
        </w:rPr>
        <w:t>, loonbelastingaftrek en loonsubsidies.</w:t>
      </w:r>
    </w:p>
    <w:p w14:paraId="03ADBC38" w14:textId="77777777" w:rsidR="003E31BE" w:rsidRPr="00BC74EF" w:rsidRDefault="00431A14" w:rsidP="003E31BE">
      <w:pPr>
        <w:pStyle w:val="SingleTxtG"/>
        <w:tabs>
          <w:tab w:val="clear" w:pos="1701"/>
          <w:tab w:val="clear" w:pos="2268"/>
          <w:tab w:val="left" w:pos="1767"/>
        </w:tabs>
        <w:rPr>
          <w:lang w:val="nl-NL"/>
        </w:rPr>
      </w:pPr>
      <w:r w:rsidRPr="00BC74EF">
        <w:rPr>
          <w:lang w:val="nl-NL"/>
        </w:rPr>
        <w:t>4</w:t>
      </w:r>
      <w:r w:rsidR="00357CBC">
        <w:rPr>
          <w:lang w:val="nl-NL"/>
        </w:rPr>
        <w:t>3</w:t>
      </w:r>
      <w:r w:rsidRPr="00BC74EF">
        <w:rPr>
          <w:lang w:val="nl-NL"/>
        </w:rPr>
        <w:t>.</w:t>
      </w:r>
      <w:r w:rsidRPr="00BC74EF">
        <w:rPr>
          <w:lang w:val="nl-NL"/>
        </w:rPr>
        <w:tab/>
      </w:r>
      <w:bookmarkStart w:id="26" w:name="_Hlk110257721"/>
      <w:r w:rsidR="003E31BE" w:rsidRPr="00BC74EF">
        <w:rPr>
          <w:lang w:val="nl-NL"/>
        </w:rPr>
        <w:t xml:space="preserve">Preferentieel aankoopbeleid dat gesegregeerde werkgelegenheid bevordert of ondersteunt, </w:t>
      </w:r>
      <w:r w:rsidR="003E31BE">
        <w:rPr>
          <w:lang w:val="nl-NL"/>
        </w:rPr>
        <w:t>is geen maatregel</w:t>
      </w:r>
      <w:r w:rsidR="003E31BE" w:rsidRPr="00BC74EF">
        <w:rPr>
          <w:lang w:val="nl-NL"/>
        </w:rPr>
        <w:t xml:space="preserve"> voor positieve actie die in overeenstemming </w:t>
      </w:r>
      <w:r w:rsidR="003E31BE">
        <w:rPr>
          <w:lang w:val="nl-NL"/>
        </w:rPr>
        <w:t>is</w:t>
      </w:r>
      <w:r w:rsidR="003E31BE" w:rsidRPr="00BC74EF">
        <w:rPr>
          <w:lang w:val="nl-NL"/>
        </w:rPr>
        <w:t xml:space="preserve"> met het Verdrag.</w:t>
      </w:r>
    </w:p>
    <w:bookmarkEnd w:id="26"/>
    <w:p w14:paraId="3FE45DD8" w14:textId="3B1A5163" w:rsidR="00F6202B" w:rsidRPr="00BC74EF" w:rsidRDefault="003C5AB4">
      <w:pPr>
        <w:pStyle w:val="SingleTxtG"/>
        <w:tabs>
          <w:tab w:val="clear" w:pos="2268"/>
        </w:tabs>
        <w:rPr>
          <w:lang w:val="nl-NL"/>
        </w:rPr>
      </w:pPr>
      <w:r w:rsidRPr="00BC74EF">
        <w:rPr>
          <w:lang w:val="nl-NL"/>
        </w:rPr>
        <w:t xml:space="preserve">Maatregelen voor positieve actie die in overeenstemming zijn met het Verdrag </w:t>
      </w:r>
      <w:r w:rsidR="00697E9A" w:rsidRPr="00BC74EF">
        <w:rPr>
          <w:lang w:val="nl-NL"/>
        </w:rPr>
        <w:t xml:space="preserve">omvatten </w:t>
      </w:r>
      <w:r w:rsidRPr="00BC74EF">
        <w:rPr>
          <w:lang w:val="nl-NL"/>
        </w:rPr>
        <w:t xml:space="preserve">onder meer: </w:t>
      </w:r>
    </w:p>
    <w:p w14:paraId="36F0ECDA" w14:textId="0AD0AF87" w:rsidR="00F6202B" w:rsidRPr="00BC74EF" w:rsidRDefault="002755DB">
      <w:pPr>
        <w:pStyle w:val="SingleTxtG"/>
        <w:tabs>
          <w:tab w:val="clear" w:pos="1701"/>
          <w:tab w:val="clear" w:pos="2268"/>
          <w:tab w:val="left" w:pos="1767"/>
        </w:tabs>
        <w:ind w:firstLine="633"/>
        <w:rPr>
          <w:lang w:val="nl-NL"/>
        </w:rPr>
      </w:pPr>
      <w:r w:rsidRPr="00BC74EF">
        <w:rPr>
          <w:lang w:val="nl-NL"/>
        </w:rPr>
        <w:t>(a)</w:t>
      </w:r>
      <w:r w:rsidRPr="00BC74EF">
        <w:rPr>
          <w:lang w:val="nl-NL"/>
        </w:rPr>
        <w:tab/>
      </w:r>
      <w:r w:rsidR="003C5AB4" w:rsidRPr="00BC74EF">
        <w:rPr>
          <w:lang w:val="nl-NL"/>
        </w:rPr>
        <w:t xml:space="preserve">ervoor zorgen dat werkgevers </w:t>
      </w:r>
      <w:r w:rsidR="0050508C">
        <w:rPr>
          <w:lang w:val="nl-NL"/>
        </w:rPr>
        <w:t xml:space="preserve">de inzet van </w:t>
      </w:r>
      <w:r w:rsidR="003C5AB4" w:rsidRPr="00BC74EF">
        <w:rPr>
          <w:lang w:val="nl-NL"/>
        </w:rPr>
        <w:t>personen met een handicap niet beperken tot bepaalde beroepen, gereserveerde banen of specifieke arbeidseenheden;</w:t>
      </w:r>
    </w:p>
    <w:p w14:paraId="53BB48AD" w14:textId="77777777" w:rsidR="00F6202B" w:rsidRPr="00BC74EF" w:rsidRDefault="002755DB">
      <w:pPr>
        <w:pStyle w:val="SingleTxtG"/>
        <w:tabs>
          <w:tab w:val="clear" w:pos="1701"/>
          <w:tab w:val="clear" w:pos="2268"/>
          <w:tab w:val="left" w:pos="1767"/>
        </w:tabs>
        <w:ind w:firstLine="633"/>
        <w:rPr>
          <w:lang w:val="nl-NL"/>
        </w:rPr>
      </w:pPr>
      <w:r w:rsidRPr="00BC74EF">
        <w:rPr>
          <w:lang w:val="nl-NL"/>
        </w:rPr>
        <w:t xml:space="preserve">(b) </w:t>
      </w:r>
      <w:r w:rsidRPr="00BC74EF">
        <w:rPr>
          <w:lang w:val="nl-NL"/>
        </w:rPr>
        <w:tab/>
        <w:t xml:space="preserve">ervoor zorgen dat werkgevers personen met een handicap niet beperken in hun mogelijkheden voor promotie en loopbaanontwikkeling; </w:t>
      </w:r>
    </w:p>
    <w:p w14:paraId="52DFFAC0" w14:textId="53F711F5" w:rsidR="00F6202B" w:rsidRPr="00BC74EF" w:rsidRDefault="002755DB">
      <w:pPr>
        <w:pStyle w:val="SingleTxtG"/>
        <w:tabs>
          <w:tab w:val="clear" w:pos="1701"/>
          <w:tab w:val="clear" w:pos="2268"/>
          <w:tab w:val="left" w:pos="1767"/>
        </w:tabs>
        <w:ind w:firstLine="633"/>
        <w:rPr>
          <w:lang w:val="nl-NL"/>
        </w:rPr>
      </w:pPr>
      <w:r w:rsidRPr="00BC74EF">
        <w:rPr>
          <w:lang w:val="nl-NL"/>
        </w:rPr>
        <w:t>(</w:t>
      </w:r>
      <w:r w:rsidR="00626609" w:rsidRPr="00BC74EF">
        <w:rPr>
          <w:lang w:val="nl-NL"/>
        </w:rPr>
        <w:t>c</w:t>
      </w:r>
      <w:r w:rsidRPr="00BC74EF">
        <w:rPr>
          <w:lang w:val="nl-NL"/>
        </w:rPr>
        <w:t>)</w:t>
      </w:r>
      <w:r w:rsidRPr="00BC74EF">
        <w:rPr>
          <w:lang w:val="nl-NL"/>
        </w:rPr>
        <w:tab/>
      </w:r>
      <w:r w:rsidR="003C5AB4" w:rsidRPr="00BC74EF">
        <w:rPr>
          <w:lang w:val="nl-NL"/>
        </w:rPr>
        <w:t>ervoor zorgen dat werk dat in het kader van deze maatregelen wordt bevorderd</w:t>
      </w:r>
      <w:r w:rsidR="009376C8" w:rsidRPr="00BC74EF">
        <w:rPr>
          <w:lang w:val="nl-NL"/>
        </w:rPr>
        <w:t xml:space="preserve">, </w:t>
      </w:r>
      <w:r w:rsidR="003C5AB4" w:rsidRPr="00BC74EF">
        <w:rPr>
          <w:lang w:val="nl-NL"/>
        </w:rPr>
        <w:t>geen "schijnwerk</w:t>
      </w:r>
      <w:r w:rsidR="00697E9A" w:rsidRPr="00BC74EF">
        <w:rPr>
          <w:lang w:val="nl-NL"/>
        </w:rPr>
        <w:t>" is</w:t>
      </w:r>
      <w:r w:rsidR="00652493" w:rsidRPr="00BC74EF">
        <w:rPr>
          <w:lang w:val="nl-NL"/>
        </w:rPr>
        <w:t xml:space="preserve">, </w:t>
      </w:r>
      <w:r w:rsidR="00697E9A" w:rsidRPr="00BC74EF">
        <w:rPr>
          <w:lang w:val="nl-NL"/>
        </w:rPr>
        <w:t xml:space="preserve">waarbij </w:t>
      </w:r>
      <w:r w:rsidR="003C5AB4" w:rsidRPr="00BC74EF">
        <w:rPr>
          <w:lang w:val="nl-NL"/>
        </w:rPr>
        <w:t xml:space="preserve">personen met een handicap door werkgevers in dienst worden genomen maar </w:t>
      </w:r>
      <w:r w:rsidR="00697E9A" w:rsidRPr="00BC74EF">
        <w:rPr>
          <w:lang w:val="nl-NL"/>
        </w:rPr>
        <w:t>geen</w:t>
      </w:r>
      <w:r w:rsidR="0050508C">
        <w:rPr>
          <w:lang w:val="nl-NL"/>
        </w:rPr>
        <w:t>, of geen zinvol,</w:t>
      </w:r>
      <w:r w:rsidR="00697E9A" w:rsidRPr="00BC74EF">
        <w:rPr>
          <w:lang w:val="nl-NL"/>
        </w:rPr>
        <w:t xml:space="preserve"> </w:t>
      </w:r>
      <w:r w:rsidR="003C5AB4" w:rsidRPr="00BC74EF">
        <w:rPr>
          <w:lang w:val="nl-NL"/>
        </w:rPr>
        <w:t xml:space="preserve">werk verrichten op gelijke voet met anderen; </w:t>
      </w:r>
    </w:p>
    <w:p w14:paraId="75A372C9" w14:textId="33BD363E" w:rsidR="00F6202B" w:rsidRPr="00BC74EF" w:rsidRDefault="00626609">
      <w:pPr>
        <w:pStyle w:val="SingleTxtG"/>
        <w:tabs>
          <w:tab w:val="clear" w:pos="1701"/>
          <w:tab w:val="clear" w:pos="2268"/>
          <w:tab w:val="left" w:pos="1767"/>
        </w:tabs>
        <w:ind w:firstLine="633"/>
        <w:rPr>
          <w:lang w:val="nl-NL"/>
        </w:rPr>
      </w:pPr>
      <w:r w:rsidRPr="00BC74EF">
        <w:rPr>
          <w:lang w:val="nl-NL"/>
        </w:rPr>
        <w:t>(d)</w:t>
      </w:r>
      <w:r w:rsidRPr="00BC74EF">
        <w:rPr>
          <w:lang w:val="nl-NL"/>
        </w:rPr>
        <w:tab/>
      </w:r>
      <w:r w:rsidR="00697E9A" w:rsidRPr="00BC74EF">
        <w:rPr>
          <w:lang w:val="nl-NL"/>
        </w:rPr>
        <w:t>Integratie</w:t>
      </w:r>
      <w:r w:rsidR="003C5AB4" w:rsidRPr="00BC74EF">
        <w:rPr>
          <w:lang w:val="nl-NL"/>
        </w:rPr>
        <w:t xml:space="preserve"> van een </w:t>
      </w:r>
      <w:r w:rsidRPr="00BC74EF">
        <w:rPr>
          <w:lang w:val="nl-NL"/>
        </w:rPr>
        <w:t xml:space="preserve">handicap-, </w:t>
      </w:r>
      <w:r w:rsidR="003C5AB4" w:rsidRPr="00BC74EF">
        <w:rPr>
          <w:lang w:val="nl-NL"/>
        </w:rPr>
        <w:t xml:space="preserve">gender- </w:t>
      </w:r>
      <w:r w:rsidR="00465FE5" w:rsidRPr="00BC74EF">
        <w:rPr>
          <w:lang w:val="nl-NL"/>
        </w:rPr>
        <w:t xml:space="preserve">en </w:t>
      </w:r>
      <w:r w:rsidR="003C5AB4" w:rsidRPr="00BC74EF">
        <w:rPr>
          <w:lang w:val="nl-NL"/>
        </w:rPr>
        <w:t xml:space="preserve">leeftijdsperspectief </w:t>
      </w:r>
      <w:r w:rsidR="00C230D0" w:rsidRPr="00BC74EF">
        <w:rPr>
          <w:lang w:val="nl-NL"/>
        </w:rPr>
        <w:t>in de gehele organisatie</w:t>
      </w:r>
      <w:r w:rsidR="00D45978" w:rsidRPr="00BC74EF">
        <w:rPr>
          <w:lang w:val="nl-NL"/>
        </w:rPr>
        <w:t>;</w:t>
      </w:r>
    </w:p>
    <w:p w14:paraId="7514D5D4" w14:textId="15085BA6" w:rsidR="00F6202B" w:rsidRPr="00BC74EF" w:rsidRDefault="00431A14">
      <w:pPr>
        <w:pStyle w:val="SingleTxtG"/>
        <w:tabs>
          <w:tab w:val="clear" w:pos="2268"/>
        </w:tabs>
        <w:rPr>
          <w:lang w:val="nl-NL"/>
        </w:rPr>
      </w:pPr>
      <w:r w:rsidRPr="00BC74EF">
        <w:rPr>
          <w:lang w:val="nl-NL"/>
        </w:rPr>
        <w:t>4</w:t>
      </w:r>
      <w:r w:rsidR="00357CBC">
        <w:rPr>
          <w:lang w:val="nl-NL"/>
        </w:rPr>
        <w:t>4</w:t>
      </w:r>
      <w:r w:rsidRPr="00BC74EF">
        <w:rPr>
          <w:lang w:val="nl-NL"/>
        </w:rPr>
        <w:t>.</w:t>
      </w:r>
      <w:r w:rsidRPr="00BC74EF">
        <w:rPr>
          <w:lang w:val="nl-NL"/>
        </w:rPr>
        <w:tab/>
      </w:r>
      <w:r w:rsidR="003C5AB4" w:rsidRPr="00BC74EF">
        <w:rPr>
          <w:lang w:val="nl-NL"/>
        </w:rPr>
        <w:t xml:space="preserve">De </w:t>
      </w:r>
      <w:r w:rsidR="003001A8">
        <w:rPr>
          <w:lang w:val="nl-NL"/>
        </w:rPr>
        <w:t>Staten die Partij</w:t>
      </w:r>
      <w:r w:rsidR="003C5AB4" w:rsidRPr="00BC74EF">
        <w:rPr>
          <w:lang w:val="nl-NL"/>
        </w:rPr>
        <w:t xml:space="preserve"> zijn</w:t>
      </w:r>
      <w:r w:rsidR="00ED6C60">
        <w:rPr>
          <w:lang w:val="nl-NL"/>
        </w:rPr>
        <w:t>,</w:t>
      </w:r>
      <w:r w:rsidR="003C5AB4" w:rsidRPr="00BC74EF">
        <w:rPr>
          <w:lang w:val="nl-NL"/>
        </w:rPr>
        <w:t xml:space="preserve"> dienen </w:t>
      </w:r>
      <w:r w:rsidR="0050508C" w:rsidRPr="00BC74EF">
        <w:rPr>
          <w:lang w:val="nl-NL"/>
        </w:rPr>
        <w:t xml:space="preserve">bij het </w:t>
      </w:r>
      <w:r w:rsidR="00ED6C60">
        <w:rPr>
          <w:lang w:val="nl-NL"/>
        </w:rPr>
        <w:t>uitwerken</w:t>
      </w:r>
      <w:r w:rsidR="0050508C" w:rsidRPr="00BC74EF">
        <w:rPr>
          <w:lang w:val="nl-NL"/>
        </w:rPr>
        <w:t xml:space="preserve"> van maatregelen voor positieve actie </w:t>
      </w:r>
      <w:r w:rsidR="00652493" w:rsidRPr="00BC74EF">
        <w:rPr>
          <w:lang w:val="nl-NL"/>
        </w:rPr>
        <w:t xml:space="preserve">nauw overleg te plegen </w:t>
      </w:r>
      <w:r w:rsidR="003C5AB4" w:rsidRPr="00BC74EF">
        <w:rPr>
          <w:lang w:val="nl-NL"/>
        </w:rPr>
        <w:t xml:space="preserve">met organisaties </w:t>
      </w:r>
      <w:r w:rsidR="0050508C">
        <w:rPr>
          <w:lang w:val="nl-NL"/>
        </w:rPr>
        <w:t>van personen met een handicap</w:t>
      </w:r>
      <w:r w:rsidR="00652493" w:rsidRPr="00BC74EF">
        <w:rPr>
          <w:lang w:val="nl-NL"/>
        </w:rPr>
        <w:t>.</w:t>
      </w:r>
      <w:r w:rsidR="003C5AB4" w:rsidRPr="00BC74EF">
        <w:rPr>
          <w:rStyle w:val="Voetnootmarkering"/>
          <w:lang w:val="nl-NL"/>
        </w:rPr>
        <w:footnoteReference w:id="37"/>
      </w:r>
      <w:r w:rsidR="007752B5" w:rsidRPr="00BC74EF">
        <w:rPr>
          <w:lang w:val="nl-NL"/>
        </w:rPr>
        <w:t xml:space="preserve"> </w:t>
      </w:r>
      <w:r w:rsidR="0050508C">
        <w:rPr>
          <w:lang w:val="nl-NL"/>
        </w:rPr>
        <w:t>In de particuliere sector zullen d</w:t>
      </w:r>
      <w:r w:rsidR="007752B5" w:rsidRPr="00BC74EF">
        <w:rPr>
          <w:lang w:val="nl-NL"/>
        </w:rPr>
        <w:t>e</w:t>
      </w:r>
      <w:r w:rsidR="00ED6C60">
        <w:rPr>
          <w:lang w:val="nl-NL"/>
        </w:rPr>
        <w:t>rgelijke</w:t>
      </w:r>
      <w:r w:rsidR="007752B5" w:rsidRPr="00BC74EF">
        <w:rPr>
          <w:lang w:val="nl-NL"/>
        </w:rPr>
        <w:t xml:space="preserve"> </w:t>
      </w:r>
      <w:r w:rsidR="003C5AB4" w:rsidRPr="00BC74EF">
        <w:rPr>
          <w:lang w:val="nl-NL"/>
        </w:rPr>
        <w:t xml:space="preserve">maatregelen het meest effectief zijn indien zij deel uitmaken van een </w:t>
      </w:r>
      <w:r w:rsidR="0050508C">
        <w:rPr>
          <w:lang w:val="nl-NL"/>
        </w:rPr>
        <w:t>allesomvattende</w:t>
      </w:r>
      <w:r w:rsidR="003C5AB4" w:rsidRPr="00BC74EF">
        <w:rPr>
          <w:lang w:val="nl-NL"/>
        </w:rPr>
        <w:t xml:space="preserve"> aanpak van de </w:t>
      </w:r>
      <w:r w:rsidR="003001A8">
        <w:rPr>
          <w:lang w:val="nl-NL"/>
        </w:rPr>
        <w:t>Staten die Partij</w:t>
      </w:r>
      <w:r w:rsidR="003C5AB4" w:rsidRPr="00BC74EF">
        <w:rPr>
          <w:lang w:val="nl-NL"/>
        </w:rPr>
        <w:t xml:space="preserve"> zijn ter bevordering van de werkgelegenheid voor </w:t>
      </w:r>
      <w:r w:rsidR="0050508C">
        <w:rPr>
          <w:lang w:val="nl-NL"/>
        </w:rPr>
        <w:t xml:space="preserve">personen met een handicap. </w:t>
      </w:r>
    </w:p>
    <w:p w14:paraId="3B5C2E89" w14:textId="77777777" w:rsidR="00F6202B" w:rsidRPr="00BC74EF" w:rsidRDefault="002755DB">
      <w:pPr>
        <w:pStyle w:val="H1G"/>
        <w:rPr>
          <w:lang w:val="nl-NL"/>
        </w:rPr>
      </w:pPr>
      <w:r w:rsidRPr="00BC74EF">
        <w:rPr>
          <w:lang w:val="nl-NL"/>
        </w:rPr>
        <w:tab/>
      </w:r>
      <w:r w:rsidR="00E65790" w:rsidRPr="00BC74EF">
        <w:rPr>
          <w:lang w:val="nl-NL"/>
        </w:rPr>
        <w:t>J.</w:t>
      </w:r>
      <w:r w:rsidRPr="00BC74EF">
        <w:rPr>
          <w:lang w:val="nl-NL"/>
        </w:rPr>
        <w:tab/>
      </w:r>
      <w:r w:rsidR="003C5AB4" w:rsidRPr="00BC74EF">
        <w:rPr>
          <w:lang w:val="nl-NL"/>
        </w:rPr>
        <w:t xml:space="preserve">Voorzien in redelijke aanpassingen </w:t>
      </w:r>
      <w:r w:rsidR="0088227A" w:rsidRPr="00BC74EF">
        <w:rPr>
          <w:lang w:val="nl-NL"/>
        </w:rPr>
        <w:t>op de werkplek (artikel 27, lid 1, onder i))</w:t>
      </w:r>
    </w:p>
    <w:p w14:paraId="65BB9072" w14:textId="2377F541" w:rsidR="00F6202B" w:rsidRPr="00BC74EF" w:rsidRDefault="00431A14" w:rsidP="00ED6C60">
      <w:pPr>
        <w:pStyle w:val="SingleTxtG"/>
        <w:rPr>
          <w:lang w:val="nl-NL"/>
        </w:rPr>
      </w:pPr>
      <w:r w:rsidRPr="00BC74EF">
        <w:rPr>
          <w:lang w:val="nl-NL"/>
        </w:rPr>
        <w:t>4</w:t>
      </w:r>
      <w:r w:rsidR="00357CBC">
        <w:rPr>
          <w:lang w:val="nl-NL"/>
        </w:rPr>
        <w:t>5</w:t>
      </w:r>
      <w:r w:rsidRPr="00BC74EF">
        <w:rPr>
          <w:lang w:val="nl-NL"/>
        </w:rPr>
        <w:t>.</w:t>
      </w:r>
      <w:r w:rsidRPr="00BC74EF">
        <w:rPr>
          <w:lang w:val="nl-NL"/>
        </w:rPr>
        <w:tab/>
      </w:r>
      <w:r w:rsidR="0050508C" w:rsidRPr="004F53E2">
        <w:rPr>
          <w:lang w:val="nl-NL"/>
        </w:rPr>
        <w:t>De verplichting om te voorzien in redelijke aanpassingen is iets anders dan de verplichting om te zorgen voor toegankelijkheid</w:t>
      </w:r>
      <w:r w:rsidR="00F2417E" w:rsidRPr="00BC74EF">
        <w:rPr>
          <w:lang w:val="nl-NL"/>
        </w:rPr>
        <w:t xml:space="preserve">. </w:t>
      </w:r>
      <w:r w:rsidR="003C5AB4" w:rsidRPr="00BC74EF">
        <w:rPr>
          <w:lang w:val="nl-NL"/>
        </w:rPr>
        <w:t>Redelijke aanpassingen zijn de</w:t>
      </w:r>
      <w:bookmarkStart w:id="27" w:name="_Hlk109986806"/>
      <w:r w:rsidR="003C5AB4" w:rsidRPr="00BC74EF">
        <w:rPr>
          <w:lang w:val="nl-NL"/>
        </w:rPr>
        <w:t xml:space="preserve"> verstrekking van individuele </w:t>
      </w:r>
      <w:r w:rsidR="00465FE5" w:rsidRPr="00BC74EF">
        <w:rPr>
          <w:lang w:val="nl-NL"/>
        </w:rPr>
        <w:t xml:space="preserve">wijzigingen, aanpassingen en ondersteuning </w:t>
      </w:r>
      <w:r w:rsidR="003C5AB4" w:rsidRPr="00BC74EF">
        <w:rPr>
          <w:lang w:val="nl-NL"/>
        </w:rPr>
        <w:t xml:space="preserve">om </w:t>
      </w:r>
      <w:r w:rsidR="002D3F6B" w:rsidRPr="00BC74EF">
        <w:rPr>
          <w:lang w:val="nl-NL"/>
        </w:rPr>
        <w:t xml:space="preserve">personen </w:t>
      </w:r>
      <w:r w:rsidR="003C5AB4" w:rsidRPr="00BC74EF">
        <w:rPr>
          <w:lang w:val="nl-NL"/>
        </w:rPr>
        <w:t xml:space="preserve">met een handicap in staat te stellen </w:t>
      </w:r>
      <w:bookmarkEnd w:id="27"/>
      <w:r w:rsidR="0050508C" w:rsidRPr="004F53E2">
        <w:rPr>
          <w:lang w:val="nl-NL"/>
        </w:rPr>
        <w:t>de aan hun werk inherente taken op voet van gelijkheid met anderen uit te voeren</w:t>
      </w:r>
      <w:r w:rsidR="003C5AB4" w:rsidRPr="00BC74EF">
        <w:rPr>
          <w:lang w:val="nl-NL"/>
        </w:rPr>
        <w:t xml:space="preserve">. </w:t>
      </w:r>
      <w:r w:rsidR="00115511" w:rsidRPr="00BC74EF">
        <w:rPr>
          <w:lang w:val="nl-NL"/>
        </w:rPr>
        <w:t xml:space="preserve">De </w:t>
      </w:r>
      <w:r w:rsidR="003001A8">
        <w:rPr>
          <w:lang w:val="nl-NL"/>
        </w:rPr>
        <w:t>Staten die Partij</w:t>
      </w:r>
      <w:r w:rsidR="00115511" w:rsidRPr="00BC74EF">
        <w:rPr>
          <w:lang w:val="nl-NL"/>
        </w:rPr>
        <w:t xml:space="preserve"> zijn dienen ervoor te zorgen dat </w:t>
      </w:r>
      <w:r w:rsidR="008544B9">
        <w:rPr>
          <w:lang w:val="nl-NL"/>
        </w:rPr>
        <w:t>de uitvoering van</w:t>
      </w:r>
      <w:r w:rsidR="00115511" w:rsidRPr="00BC74EF">
        <w:rPr>
          <w:lang w:val="nl-NL"/>
        </w:rPr>
        <w:t xml:space="preserve"> redelijke aanpassingen wordt vergemakkelijkt door maatregelen en programma's die technische en financiële </w:t>
      </w:r>
      <w:r w:rsidR="008544B9">
        <w:rPr>
          <w:lang w:val="nl-NL"/>
        </w:rPr>
        <w:t>ondersteuning bieden</w:t>
      </w:r>
      <w:r w:rsidR="00115511" w:rsidRPr="00BC74EF">
        <w:rPr>
          <w:lang w:val="nl-NL"/>
        </w:rPr>
        <w:t xml:space="preserve"> aan werkgevers </w:t>
      </w:r>
      <w:r w:rsidR="00BC4589" w:rsidRPr="00BC74EF">
        <w:rPr>
          <w:lang w:val="nl-NL"/>
        </w:rPr>
        <w:t>in de publieke en particuliere sector.</w:t>
      </w:r>
      <w:bookmarkStart w:id="28" w:name="_Hlk110255950"/>
      <w:r w:rsidR="00ED6C60">
        <w:rPr>
          <w:lang w:val="nl-NL"/>
        </w:rPr>
        <w:t xml:space="preserve"> </w:t>
      </w:r>
      <w:r w:rsidR="008544B9">
        <w:rPr>
          <w:lang w:val="nl-NL"/>
        </w:rPr>
        <w:t xml:space="preserve">Met het oog op hun verplichtingen </w:t>
      </w:r>
      <w:r w:rsidR="006D6AFC">
        <w:rPr>
          <w:lang w:val="nl-NL"/>
        </w:rPr>
        <w:t>op vlak van</w:t>
      </w:r>
      <w:r w:rsidR="008544B9" w:rsidRPr="00BC74EF">
        <w:rPr>
          <w:lang w:val="nl-NL"/>
        </w:rPr>
        <w:t xml:space="preserve"> toegankelijkheid moeten werkgevers in de publieke en private sector een duidelijke, toegankelijke en tijdige procedure</w:t>
      </w:r>
      <w:r w:rsidR="008544B9">
        <w:rPr>
          <w:lang w:val="nl-NL"/>
        </w:rPr>
        <w:t xml:space="preserve"> instellen</w:t>
      </w:r>
      <w:r w:rsidR="008544B9" w:rsidRPr="00BC74EF">
        <w:rPr>
          <w:lang w:val="nl-NL"/>
        </w:rPr>
        <w:t xml:space="preserve"> voor </w:t>
      </w:r>
      <w:r w:rsidR="008544B9" w:rsidRPr="00BC74EF">
        <w:rPr>
          <w:lang w:val="nl-NL"/>
        </w:rPr>
        <w:lastRenderedPageBreak/>
        <w:t xml:space="preserve">het omgaan met de </w:t>
      </w:r>
      <w:r w:rsidR="006D6AFC">
        <w:rPr>
          <w:lang w:val="nl-NL"/>
        </w:rPr>
        <w:t>behoeften inzake</w:t>
      </w:r>
      <w:r w:rsidR="008544B9" w:rsidRPr="00BC74EF">
        <w:rPr>
          <w:lang w:val="nl-NL"/>
        </w:rPr>
        <w:t xml:space="preserve"> redelijke </w:t>
      </w:r>
      <w:r w:rsidR="008544B9" w:rsidRPr="006D6AFC">
        <w:rPr>
          <w:lang w:val="nl-NL"/>
        </w:rPr>
        <w:t xml:space="preserve">aanpassingen. Wanneer een belemmering voor de volledige integratie van een persoon met een handicap wordt vastgesteld, moet de </w:t>
      </w:r>
      <w:r w:rsidR="006D6AFC" w:rsidRPr="006D6AFC">
        <w:rPr>
          <w:lang w:val="nl-NL"/>
        </w:rPr>
        <w:t xml:space="preserve">werkgever </w:t>
      </w:r>
      <w:r w:rsidR="008544B9" w:rsidRPr="006D6AFC">
        <w:rPr>
          <w:lang w:val="nl-NL"/>
        </w:rPr>
        <w:t xml:space="preserve">volgende stappen </w:t>
      </w:r>
      <w:r w:rsidR="006D6AFC" w:rsidRPr="006D6AFC">
        <w:rPr>
          <w:lang w:val="nl-NL"/>
        </w:rPr>
        <w:t>ondernemen</w:t>
      </w:r>
      <w:r w:rsidR="008544B9" w:rsidRPr="006D6AFC">
        <w:rPr>
          <w:lang w:val="nl-NL"/>
        </w:rPr>
        <w:t>:</w:t>
      </w:r>
    </w:p>
    <w:p w14:paraId="67A154FB" w14:textId="4C089442" w:rsidR="00F6202B" w:rsidRPr="00BC74EF" w:rsidRDefault="002755DB">
      <w:pPr>
        <w:pStyle w:val="SingleTxtG"/>
        <w:ind w:firstLine="567"/>
        <w:rPr>
          <w:lang w:val="nl-NL"/>
        </w:rPr>
      </w:pPr>
      <w:r w:rsidRPr="00BC74EF">
        <w:rPr>
          <w:lang w:val="nl-NL"/>
        </w:rPr>
        <w:t>(a)</w:t>
      </w:r>
      <w:r w:rsidRPr="00BC74EF">
        <w:rPr>
          <w:lang w:val="nl-NL"/>
        </w:rPr>
        <w:tab/>
      </w:r>
      <w:r w:rsidR="006D6AFC" w:rsidRPr="006D6AFC">
        <w:rPr>
          <w:lang w:val="nl-NL"/>
        </w:rPr>
        <w:t xml:space="preserve">De </w:t>
      </w:r>
      <w:r w:rsidR="006D6AFC" w:rsidRPr="00ED6C60">
        <w:rPr>
          <w:lang w:val="nl-NL"/>
        </w:rPr>
        <w:t>werkgever</w:t>
      </w:r>
      <w:r w:rsidR="006D6AFC" w:rsidRPr="006D6AFC">
        <w:rPr>
          <w:lang w:val="nl-NL"/>
        </w:rPr>
        <w:t xml:space="preserve"> onderzoekt, in samenwerking met de betrokkene, mogelijke oplossingen om de geconstateerde belemmering </w:t>
      </w:r>
      <w:r w:rsidR="006D6AFC">
        <w:rPr>
          <w:lang w:val="nl-NL"/>
        </w:rPr>
        <w:t>weg te nemen</w:t>
      </w:r>
      <w:r w:rsidR="006D6AFC" w:rsidRPr="006D6AFC">
        <w:rPr>
          <w:lang w:val="nl-NL"/>
        </w:rPr>
        <w:t xml:space="preserve"> of te </w:t>
      </w:r>
      <w:r w:rsidR="006D6AFC">
        <w:rPr>
          <w:lang w:val="nl-NL"/>
        </w:rPr>
        <w:t>vermijden</w:t>
      </w:r>
      <w:r w:rsidR="006D6AFC" w:rsidRPr="006D6AFC">
        <w:rPr>
          <w:lang w:val="nl-NL"/>
        </w:rPr>
        <w:t>, met inbegrip van de oplossing waaraan de betrokkene de voorkeur geeft;</w:t>
      </w:r>
    </w:p>
    <w:p w14:paraId="6DCC956A" w14:textId="5303EDB8" w:rsidR="006D6AFC" w:rsidRPr="006D6AFC" w:rsidRDefault="002755DB" w:rsidP="006D6AFC">
      <w:pPr>
        <w:pStyle w:val="SingleTxtG"/>
        <w:ind w:firstLine="567"/>
        <w:rPr>
          <w:rFonts w:eastAsiaTheme="minorHAnsi"/>
          <w:lang w:val="nl-NL" w:eastAsia="en-US"/>
        </w:rPr>
      </w:pPr>
      <w:r w:rsidRPr="00BC74EF">
        <w:rPr>
          <w:lang w:val="nl-NL"/>
        </w:rPr>
        <w:t>(b)</w:t>
      </w:r>
      <w:r w:rsidRPr="00BC74EF">
        <w:rPr>
          <w:lang w:val="nl-NL"/>
        </w:rPr>
        <w:tab/>
      </w:r>
      <w:r w:rsidR="006D6AFC" w:rsidRPr="006D6AFC">
        <w:rPr>
          <w:rFonts w:eastAsiaTheme="minorHAnsi"/>
          <w:lang w:val="nl-NL" w:eastAsia="en-US"/>
        </w:rPr>
        <w:t xml:space="preserve">De </w:t>
      </w:r>
      <w:r w:rsidR="006D6AFC" w:rsidRPr="00ED6C60">
        <w:rPr>
          <w:rFonts w:eastAsiaTheme="minorHAnsi"/>
          <w:lang w:val="nl-NL" w:eastAsia="en-US"/>
        </w:rPr>
        <w:t>werkgever</w:t>
      </w:r>
      <w:r w:rsidR="006D6AFC" w:rsidRPr="006D6AFC">
        <w:rPr>
          <w:rFonts w:eastAsiaTheme="minorHAnsi"/>
          <w:lang w:val="nl-NL" w:eastAsia="en-US"/>
        </w:rPr>
        <w:t xml:space="preserve"> past de </w:t>
      </w:r>
      <w:r w:rsidR="006D6AFC">
        <w:rPr>
          <w:rFonts w:eastAsiaTheme="minorHAnsi"/>
          <w:lang w:val="nl-NL" w:eastAsia="en-US"/>
        </w:rPr>
        <w:t>voorkeurs</w:t>
      </w:r>
      <w:r w:rsidR="006D6AFC" w:rsidRPr="006D6AFC">
        <w:rPr>
          <w:rFonts w:eastAsiaTheme="minorHAnsi"/>
          <w:lang w:val="nl-NL" w:eastAsia="en-US"/>
        </w:rPr>
        <w:t xml:space="preserve">oplossing </w:t>
      </w:r>
      <w:r w:rsidR="006D6AFC">
        <w:rPr>
          <w:rFonts w:eastAsiaTheme="minorHAnsi"/>
          <w:lang w:val="nl-NL" w:eastAsia="en-US"/>
        </w:rPr>
        <w:t>van de betrokkene</w:t>
      </w:r>
      <w:r w:rsidR="006D6AFC" w:rsidRPr="006D6AFC">
        <w:rPr>
          <w:rFonts w:eastAsiaTheme="minorHAnsi"/>
          <w:lang w:val="nl-NL" w:eastAsia="en-US"/>
        </w:rPr>
        <w:t xml:space="preserve"> toe, tenzij die oplossing een te zware belasting vormt, in welk geval de werkgever hetzij een andere van de in overweging genomen oplossingen toepast die geen te zware belasting vormt, hetzij de </w:t>
      </w:r>
      <w:r w:rsidR="006D6AFC">
        <w:rPr>
          <w:rFonts w:eastAsiaTheme="minorHAnsi"/>
          <w:lang w:val="nl-NL" w:eastAsia="en-US"/>
        </w:rPr>
        <w:t>voorkeurs</w:t>
      </w:r>
      <w:r w:rsidR="006D6AFC" w:rsidRPr="006D6AFC">
        <w:rPr>
          <w:rFonts w:eastAsiaTheme="minorHAnsi"/>
          <w:lang w:val="nl-NL" w:eastAsia="en-US"/>
        </w:rPr>
        <w:t>oplossing toepast voor zover dat mogelijk is zonder een te zware belasting te vormen.</w:t>
      </w:r>
    </w:p>
    <w:bookmarkEnd w:id="28"/>
    <w:p w14:paraId="40C41AAC" w14:textId="156F243C" w:rsidR="00F6202B" w:rsidRPr="00BC74EF" w:rsidRDefault="002755DB">
      <w:pPr>
        <w:pStyle w:val="H1G"/>
        <w:rPr>
          <w:lang w:val="nl-NL"/>
        </w:rPr>
      </w:pPr>
      <w:r w:rsidRPr="00BC74EF">
        <w:rPr>
          <w:lang w:val="nl-NL"/>
        </w:rPr>
        <w:tab/>
      </w:r>
      <w:r w:rsidR="00E65790" w:rsidRPr="00BC74EF">
        <w:rPr>
          <w:lang w:val="nl-NL"/>
        </w:rPr>
        <w:t>K.</w:t>
      </w:r>
      <w:r w:rsidRPr="00BC74EF">
        <w:rPr>
          <w:lang w:val="nl-NL"/>
        </w:rPr>
        <w:tab/>
      </w:r>
      <w:r w:rsidR="0088227A" w:rsidRPr="00BC74EF">
        <w:rPr>
          <w:lang w:val="nl-NL"/>
        </w:rPr>
        <w:t xml:space="preserve">Bevordering van </w:t>
      </w:r>
      <w:r w:rsidR="003C5AB4" w:rsidRPr="00BC74EF">
        <w:rPr>
          <w:lang w:val="nl-NL"/>
        </w:rPr>
        <w:t xml:space="preserve">werkervaring </w:t>
      </w:r>
      <w:r w:rsidR="0088227A" w:rsidRPr="00BC74EF">
        <w:rPr>
          <w:lang w:val="nl-NL"/>
        </w:rPr>
        <w:t xml:space="preserve">op de </w:t>
      </w:r>
      <w:r w:rsidR="00ED6C60">
        <w:rPr>
          <w:lang w:val="nl-NL"/>
        </w:rPr>
        <w:t>algemene</w:t>
      </w:r>
      <w:r w:rsidR="0088227A" w:rsidRPr="00BC74EF">
        <w:rPr>
          <w:lang w:val="nl-NL"/>
        </w:rPr>
        <w:t xml:space="preserve"> arbeidsmarkt (artikel 27, lid 1, onder j))</w:t>
      </w:r>
    </w:p>
    <w:p w14:paraId="3E4012C6" w14:textId="13F4982B" w:rsidR="00F6202B" w:rsidRPr="00BC74EF" w:rsidRDefault="00431A14">
      <w:pPr>
        <w:pStyle w:val="SingleTxtG"/>
        <w:tabs>
          <w:tab w:val="clear" w:pos="2268"/>
        </w:tabs>
        <w:rPr>
          <w:lang w:val="nl-NL"/>
        </w:rPr>
      </w:pPr>
      <w:r w:rsidRPr="00BC74EF">
        <w:rPr>
          <w:lang w:val="nl-NL"/>
        </w:rPr>
        <w:t>4</w:t>
      </w:r>
      <w:r w:rsidR="00357CBC">
        <w:rPr>
          <w:lang w:val="nl-NL"/>
        </w:rPr>
        <w:t>6</w:t>
      </w:r>
      <w:r w:rsidR="0006414B" w:rsidRPr="00BC74EF">
        <w:rPr>
          <w:lang w:val="nl-NL"/>
        </w:rPr>
        <w:t>.</w:t>
      </w:r>
      <w:r w:rsidR="0006414B" w:rsidRPr="00BC74EF">
        <w:rPr>
          <w:lang w:val="nl-NL"/>
        </w:rPr>
        <w:tab/>
      </w:r>
      <w:r w:rsidR="003C5AB4" w:rsidRPr="00BC74EF">
        <w:rPr>
          <w:lang w:val="nl-NL"/>
        </w:rPr>
        <w:t xml:space="preserve">Werkervaring op </w:t>
      </w:r>
      <w:r w:rsidR="00ED6C60">
        <w:rPr>
          <w:lang w:val="nl-NL"/>
        </w:rPr>
        <w:t>de algemene</w:t>
      </w:r>
      <w:r w:rsidR="006D6AFC">
        <w:rPr>
          <w:lang w:val="nl-NL"/>
        </w:rPr>
        <w:t xml:space="preserve"> </w:t>
      </w:r>
      <w:r w:rsidR="003C5AB4" w:rsidRPr="00BC74EF">
        <w:rPr>
          <w:lang w:val="nl-NL"/>
        </w:rPr>
        <w:t xml:space="preserve">arbeidsmarkt </w:t>
      </w:r>
      <w:r w:rsidR="00FE6D21" w:rsidRPr="00BC74EF">
        <w:rPr>
          <w:lang w:val="nl-NL"/>
        </w:rPr>
        <w:t xml:space="preserve">kan </w:t>
      </w:r>
      <w:r w:rsidR="003C5AB4" w:rsidRPr="00BC74EF">
        <w:rPr>
          <w:lang w:val="nl-NL"/>
        </w:rPr>
        <w:t xml:space="preserve">worden bevorderd </w:t>
      </w:r>
      <w:r w:rsidR="00FA0045">
        <w:rPr>
          <w:lang w:val="nl-NL"/>
        </w:rPr>
        <w:t>door middel van</w:t>
      </w:r>
      <w:r w:rsidR="003C5AB4" w:rsidRPr="00BC74EF">
        <w:rPr>
          <w:lang w:val="nl-NL"/>
        </w:rPr>
        <w:t xml:space="preserve"> stages, </w:t>
      </w:r>
      <w:r w:rsidR="00FA0045">
        <w:rPr>
          <w:lang w:val="nl-NL"/>
        </w:rPr>
        <w:t>programma’s voor permanente vorming</w:t>
      </w:r>
      <w:r w:rsidR="003C5AB4" w:rsidRPr="00BC74EF">
        <w:rPr>
          <w:lang w:val="nl-NL"/>
        </w:rPr>
        <w:t>, beurzen, studiebeurzen en financiële prikkels voor bedrijven</w:t>
      </w:r>
      <w:r w:rsidR="00FE6D21" w:rsidRPr="00BC74EF">
        <w:rPr>
          <w:lang w:val="nl-NL"/>
        </w:rPr>
        <w:t xml:space="preserve">, </w:t>
      </w:r>
      <w:r w:rsidR="003C5AB4" w:rsidRPr="00BC74EF">
        <w:rPr>
          <w:lang w:val="nl-NL"/>
        </w:rPr>
        <w:t xml:space="preserve">zoals stages en andere </w:t>
      </w:r>
      <w:r w:rsidR="00ED6C60">
        <w:rPr>
          <w:lang w:val="nl-NL"/>
        </w:rPr>
        <w:t>op werk gebaseerde opleidings</w:t>
      </w:r>
      <w:r w:rsidR="003C5AB4" w:rsidRPr="00BC74EF">
        <w:rPr>
          <w:lang w:val="nl-NL"/>
        </w:rPr>
        <w:t xml:space="preserve">regelingen. </w:t>
      </w:r>
      <w:r w:rsidR="00FE6D21" w:rsidRPr="00BC74EF">
        <w:rPr>
          <w:lang w:val="nl-NL"/>
        </w:rPr>
        <w:t xml:space="preserve">Werkervaring is niet alleen </w:t>
      </w:r>
      <w:r w:rsidR="003C5AB4" w:rsidRPr="00BC74EF">
        <w:rPr>
          <w:lang w:val="nl-NL"/>
        </w:rPr>
        <w:t xml:space="preserve">essentieel voor </w:t>
      </w:r>
      <w:r w:rsidR="00FE6D21" w:rsidRPr="00BC74EF">
        <w:rPr>
          <w:lang w:val="nl-NL"/>
        </w:rPr>
        <w:t xml:space="preserve">de ontwikkeling van </w:t>
      </w:r>
      <w:r w:rsidR="003C5AB4" w:rsidRPr="00BC74EF">
        <w:rPr>
          <w:lang w:val="nl-NL"/>
        </w:rPr>
        <w:t xml:space="preserve">de vaardigheden van personen met een handicap, maar biedt ook de mogelijkheid om de arbeidsvoorwaarden te veranderen en </w:t>
      </w:r>
      <w:r w:rsidR="00FA0045">
        <w:rPr>
          <w:lang w:val="nl-NL"/>
        </w:rPr>
        <w:t>banden</w:t>
      </w:r>
      <w:r w:rsidR="003C5AB4" w:rsidRPr="00BC74EF">
        <w:rPr>
          <w:lang w:val="nl-NL"/>
        </w:rPr>
        <w:t xml:space="preserve"> </w:t>
      </w:r>
      <w:r w:rsidR="00FA0045">
        <w:rPr>
          <w:lang w:val="nl-NL"/>
        </w:rPr>
        <w:t xml:space="preserve">te smeden met </w:t>
      </w:r>
      <w:r w:rsidR="003C5AB4" w:rsidRPr="00BC74EF">
        <w:rPr>
          <w:lang w:val="nl-NL"/>
        </w:rPr>
        <w:t>en begrip te kweken bij werkgevers.</w:t>
      </w:r>
    </w:p>
    <w:p w14:paraId="3B1D0B0D" w14:textId="4C72A319" w:rsidR="00F6202B" w:rsidRPr="00BC74EF" w:rsidRDefault="00431A14">
      <w:pPr>
        <w:pStyle w:val="SingleTxtG"/>
        <w:tabs>
          <w:tab w:val="clear" w:pos="2268"/>
        </w:tabs>
        <w:rPr>
          <w:lang w:val="nl-NL"/>
        </w:rPr>
      </w:pPr>
      <w:r w:rsidRPr="00BC74EF">
        <w:rPr>
          <w:lang w:val="nl-NL"/>
        </w:rPr>
        <w:t>4</w:t>
      </w:r>
      <w:r w:rsidR="00357CBC">
        <w:rPr>
          <w:lang w:val="nl-NL"/>
        </w:rPr>
        <w:t>7</w:t>
      </w:r>
      <w:r w:rsidR="0006414B" w:rsidRPr="00BC74EF">
        <w:rPr>
          <w:lang w:val="nl-NL"/>
        </w:rPr>
        <w:t>.</w:t>
      </w:r>
      <w:r w:rsidR="0006414B" w:rsidRPr="00BC74EF">
        <w:rPr>
          <w:lang w:val="nl-NL"/>
        </w:rPr>
        <w:tab/>
      </w:r>
      <w:r w:rsidR="003C5AB4" w:rsidRPr="00BC74EF">
        <w:rPr>
          <w:lang w:val="nl-NL"/>
        </w:rPr>
        <w:t>Personen met een handicap lopen een bijzonder risico op het oneigenlijk gebruik van onbetaalde stages</w:t>
      </w:r>
      <w:r w:rsidR="00C4467C" w:rsidRPr="00BC74EF">
        <w:rPr>
          <w:lang w:val="nl-NL"/>
        </w:rPr>
        <w:t xml:space="preserve">, </w:t>
      </w:r>
      <w:r w:rsidR="003C5AB4" w:rsidRPr="00BC74EF">
        <w:rPr>
          <w:lang w:val="nl-NL"/>
        </w:rPr>
        <w:t>opleidings</w:t>
      </w:r>
      <w:r w:rsidR="00FA0045">
        <w:rPr>
          <w:lang w:val="nl-NL"/>
        </w:rPr>
        <w:t>- en vrijwilligersprogramma’s</w:t>
      </w:r>
      <w:r w:rsidR="00ED6C60">
        <w:rPr>
          <w:lang w:val="nl-NL"/>
        </w:rPr>
        <w:t>, met negatieve gevolgen voor</w:t>
      </w:r>
      <w:r w:rsidR="003C5AB4" w:rsidRPr="00BC74EF">
        <w:rPr>
          <w:lang w:val="nl-NL"/>
        </w:rPr>
        <w:t xml:space="preserve"> de werkzekerheid en de loopbaanvooruitzichten</w:t>
      </w:r>
      <w:r w:rsidR="00FE6D21" w:rsidRPr="00BC74EF">
        <w:rPr>
          <w:lang w:val="nl-NL"/>
        </w:rPr>
        <w:t xml:space="preserve">. Jongeren </w:t>
      </w:r>
      <w:r w:rsidR="003C5AB4" w:rsidRPr="00BC74EF">
        <w:rPr>
          <w:lang w:val="nl-NL"/>
        </w:rPr>
        <w:t xml:space="preserve">met een handicap zijn </w:t>
      </w:r>
      <w:r w:rsidR="004F217E" w:rsidRPr="00BC74EF">
        <w:rPr>
          <w:lang w:val="nl-NL"/>
        </w:rPr>
        <w:t xml:space="preserve">in dit opzicht </w:t>
      </w:r>
      <w:r w:rsidR="003C5AB4" w:rsidRPr="00BC74EF">
        <w:rPr>
          <w:lang w:val="nl-NL"/>
        </w:rPr>
        <w:t>bijzonder kwetsbaar</w:t>
      </w:r>
      <w:r w:rsidR="00FE6D21" w:rsidRPr="00BC74EF">
        <w:rPr>
          <w:lang w:val="nl-NL"/>
        </w:rPr>
        <w:t xml:space="preserve">. </w:t>
      </w:r>
      <w:r w:rsidR="003C5AB4" w:rsidRPr="00BC74EF">
        <w:rPr>
          <w:lang w:val="nl-NL"/>
        </w:rPr>
        <w:t xml:space="preserve">De </w:t>
      </w:r>
      <w:r w:rsidR="003001A8">
        <w:rPr>
          <w:lang w:val="nl-NL"/>
        </w:rPr>
        <w:t>Staten die Partij</w:t>
      </w:r>
      <w:r w:rsidR="00E415FB" w:rsidRPr="00BC74EF">
        <w:rPr>
          <w:lang w:val="nl-NL"/>
        </w:rPr>
        <w:t xml:space="preserve"> zijn </w:t>
      </w:r>
      <w:r w:rsidR="003C5AB4" w:rsidRPr="00BC74EF">
        <w:rPr>
          <w:lang w:val="nl-NL"/>
        </w:rPr>
        <w:t xml:space="preserve">dienen de situatie van personen met een handicap </w:t>
      </w:r>
      <w:r w:rsidR="00FE6D21" w:rsidRPr="00BC74EF">
        <w:rPr>
          <w:lang w:val="nl-NL"/>
        </w:rPr>
        <w:t xml:space="preserve">in het kader van dergelijke </w:t>
      </w:r>
      <w:r w:rsidR="003C5AB4" w:rsidRPr="00BC74EF">
        <w:rPr>
          <w:lang w:val="nl-NL"/>
        </w:rPr>
        <w:t>programma's duidelijk te regelen en te monitoren.</w:t>
      </w:r>
    </w:p>
    <w:p w14:paraId="643DB262" w14:textId="3855B98E" w:rsidR="00F6202B" w:rsidRPr="00BC74EF" w:rsidRDefault="002755DB">
      <w:pPr>
        <w:pStyle w:val="H1G"/>
        <w:rPr>
          <w:lang w:val="nl-NL"/>
        </w:rPr>
      </w:pPr>
      <w:r w:rsidRPr="00BC74EF">
        <w:rPr>
          <w:lang w:val="nl-NL"/>
        </w:rPr>
        <w:tab/>
      </w:r>
      <w:r w:rsidR="00E65790" w:rsidRPr="00BC74EF">
        <w:rPr>
          <w:lang w:val="nl-NL"/>
        </w:rPr>
        <w:t>L.</w:t>
      </w:r>
      <w:r w:rsidRPr="00BC74EF">
        <w:rPr>
          <w:lang w:val="nl-NL"/>
        </w:rPr>
        <w:tab/>
      </w:r>
      <w:r w:rsidR="0088227A" w:rsidRPr="00BC74EF">
        <w:rPr>
          <w:lang w:val="nl-NL"/>
        </w:rPr>
        <w:t xml:space="preserve">Bevordering van programma's voor </w:t>
      </w:r>
      <w:r w:rsidR="00CC0165">
        <w:rPr>
          <w:lang w:val="nl-NL"/>
        </w:rPr>
        <w:t>technische en beroepsrevalidatie</w:t>
      </w:r>
      <w:r w:rsidR="003C5AB4" w:rsidRPr="00BC74EF">
        <w:rPr>
          <w:lang w:val="nl-NL"/>
        </w:rPr>
        <w:t xml:space="preserve">, het behoud van </w:t>
      </w:r>
      <w:r w:rsidR="00CC0165">
        <w:rPr>
          <w:lang w:val="nl-NL"/>
        </w:rPr>
        <w:t>werkgelegenheid</w:t>
      </w:r>
      <w:r w:rsidR="003C5AB4" w:rsidRPr="00BC74EF">
        <w:rPr>
          <w:lang w:val="nl-NL"/>
        </w:rPr>
        <w:t xml:space="preserve"> en terugkeer naar de arbeidsmarkt </w:t>
      </w:r>
      <w:r w:rsidR="0088227A" w:rsidRPr="00BC74EF">
        <w:rPr>
          <w:lang w:val="nl-NL"/>
        </w:rPr>
        <w:t>(artikel 27, lid 1, onder k))</w:t>
      </w:r>
      <w:r w:rsidR="00FA0045">
        <w:rPr>
          <w:lang w:val="nl-NL"/>
        </w:rPr>
        <w:t xml:space="preserve"> </w:t>
      </w:r>
    </w:p>
    <w:p w14:paraId="2DF15070" w14:textId="60ED1EAE" w:rsidR="00F6202B" w:rsidRPr="00BC74EF" w:rsidRDefault="00431A14">
      <w:pPr>
        <w:pStyle w:val="SingleTxtG"/>
        <w:tabs>
          <w:tab w:val="clear" w:pos="2268"/>
        </w:tabs>
        <w:rPr>
          <w:lang w:val="nl-NL"/>
        </w:rPr>
      </w:pPr>
      <w:r w:rsidRPr="00BC74EF">
        <w:rPr>
          <w:lang w:val="nl-NL"/>
        </w:rPr>
        <w:t>4</w:t>
      </w:r>
      <w:r w:rsidR="00357CBC">
        <w:rPr>
          <w:lang w:val="nl-NL"/>
        </w:rPr>
        <w:t>8</w:t>
      </w:r>
      <w:r w:rsidR="0006414B" w:rsidRPr="00BC74EF">
        <w:rPr>
          <w:lang w:val="nl-NL"/>
        </w:rPr>
        <w:t>.</w:t>
      </w:r>
      <w:r w:rsidR="0006414B" w:rsidRPr="00BC74EF">
        <w:rPr>
          <w:lang w:val="nl-NL"/>
        </w:rPr>
        <w:tab/>
      </w:r>
      <w:r w:rsidR="003C5AB4" w:rsidRPr="00BC74EF">
        <w:rPr>
          <w:lang w:val="nl-NL"/>
        </w:rPr>
        <w:t xml:space="preserve">Alle werknemers kunnen </w:t>
      </w:r>
      <w:r w:rsidR="006B09AD">
        <w:rPr>
          <w:lang w:val="nl-NL"/>
        </w:rPr>
        <w:t>de behoefte voelen</w:t>
      </w:r>
      <w:r w:rsidR="003C5AB4" w:rsidRPr="00BC74EF">
        <w:rPr>
          <w:lang w:val="nl-NL"/>
        </w:rPr>
        <w:t xml:space="preserve"> </w:t>
      </w:r>
      <w:r w:rsidR="006B09AD">
        <w:rPr>
          <w:lang w:val="nl-NL"/>
        </w:rPr>
        <w:t xml:space="preserve">om </w:t>
      </w:r>
      <w:r w:rsidR="003C5AB4" w:rsidRPr="00BC74EF">
        <w:rPr>
          <w:lang w:val="nl-NL"/>
        </w:rPr>
        <w:t>zich om te scholen, nieuwe vaardigheden te ontwikkelen of van beroep te veranderen. Programma's voor baanbehoud en terugkeer naar</w:t>
      </w:r>
      <w:r w:rsidR="00E43A74">
        <w:rPr>
          <w:lang w:val="nl-NL"/>
        </w:rPr>
        <w:t xml:space="preserve"> </w:t>
      </w:r>
      <w:r w:rsidR="003C5AB4" w:rsidRPr="00BC74EF">
        <w:rPr>
          <w:lang w:val="nl-NL"/>
        </w:rPr>
        <w:t>werk voor</w:t>
      </w:r>
      <w:r w:rsidR="00FF34DA">
        <w:rPr>
          <w:lang w:val="nl-NL"/>
        </w:rPr>
        <w:t xml:space="preserve"> personen met een handicap </w:t>
      </w:r>
      <w:r w:rsidR="003C5AB4" w:rsidRPr="00BC74EF">
        <w:rPr>
          <w:lang w:val="nl-NL"/>
        </w:rPr>
        <w:t xml:space="preserve">maken deel uit van </w:t>
      </w:r>
      <w:r w:rsidR="00E43A74">
        <w:rPr>
          <w:lang w:val="nl-NL"/>
        </w:rPr>
        <w:t xml:space="preserve">het </w:t>
      </w:r>
      <w:r w:rsidR="003C5AB4" w:rsidRPr="00BC74EF">
        <w:rPr>
          <w:lang w:val="nl-NL"/>
        </w:rPr>
        <w:t xml:space="preserve">bredere </w:t>
      </w:r>
      <w:r w:rsidR="00E43A74">
        <w:rPr>
          <w:lang w:val="nl-NL"/>
        </w:rPr>
        <w:t>kader</w:t>
      </w:r>
      <w:r w:rsidR="003C5AB4" w:rsidRPr="00BC74EF">
        <w:rPr>
          <w:lang w:val="nl-NL"/>
        </w:rPr>
        <w:t xml:space="preserve"> om te zorgen voor voortdurende ontwikkeling van de beroepsbevolking</w:t>
      </w:r>
      <w:r w:rsidR="00FF6FD5" w:rsidRPr="00BC74EF">
        <w:rPr>
          <w:lang w:val="nl-NL"/>
        </w:rPr>
        <w:t xml:space="preserve">. </w:t>
      </w:r>
      <w:r w:rsidR="003C5AB4" w:rsidRPr="00BC74EF">
        <w:rPr>
          <w:lang w:val="nl-NL"/>
        </w:rPr>
        <w:t xml:space="preserve">De </w:t>
      </w:r>
      <w:r w:rsidR="003001A8">
        <w:rPr>
          <w:lang w:val="nl-NL"/>
        </w:rPr>
        <w:t>Staten die Partij</w:t>
      </w:r>
      <w:r w:rsidR="003C5AB4" w:rsidRPr="00BC74EF">
        <w:rPr>
          <w:lang w:val="nl-NL"/>
        </w:rPr>
        <w:t xml:space="preserve"> zijn moeten ervoor zorgen dat personen met een handicap worden ondersteund om </w:t>
      </w:r>
      <w:r w:rsidR="00E43A74">
        <w:rPr>
          <w:lang w:val="nl-NL"/>
        </w:rPr>
        <w:t>hun baan te behouden</w:t>
      </w:r>
      <w:r w:rsidR="003C5AB4" w:rsidRPr="00BC74EF">
        <w:rPr>
          <w:lang w:val="nl-NL"/>
        </w:rPr>
        <w:t xml:space="preserve"> of </w:t>
      </w:r>
      <w:r w:rsidR="00E43A74">
        <w:rPr>
          <w:lang w:val="nl-NL"/>
        </w:rPr>
        <w:t>nieuwe taken kunnen opnemen</w:t>
      </w:r>
      <w:r w:rsidR="003C5AB4" w:rsidRPr="00BC74EF">
        <w:rPr>
          <w:lang w:val="nl-NL"/>
        </w:rPr>
        <w:t xml:space="preserve"> nadat </w:t>
      </w:r>
      <w:r w:rsidR="00CA751A" w:rsidRPr="00BC74EF">
        <w:rPr>
          <w:lang w:val="nl-NL"/>
        </w:rPr>
        <w:t xml:space="preserve">zij </w:t>
      </w:r>
      <w:r w:rsidR="003C5AB4" w:rsidRPr="00BC74EF">
        <w:rPr>
          <w:lang w:val="nl-NL"/>
        </w:rPr>
        <w:t xml:space="preserve">een handicap hebben </w:t>
      </w:r>
      <w:r w:rsidR="00E43A74">
        <w:rPr>
          <w:lang w:val="nl-NL"/>
        </w:rPr>
        <w:t>opgelopen</w:t>
      </w:r>
      <w:r w:rsidR="00CA751A" w:rsidRPr="00BC74EF">
        <w:rPr>
          <w:lang w:val="nl-NL"/>
        </w:rPr>
        <w:t xml:space="preserve"> </w:t>
      </w:r>
      <w:r w:rsidR="003C5AB4" w:rsidRPr="00BC74EF">
        <w:rPr>
          <w:lang w:val="nl-NL"/>
        </w:rPr>
        <w:t>of een bestaande handicap</w:t>
      </w:r>
      <w:r w:rsidR="00E43A74">
        <w:rPr>
          <w:lang w:val="nl-NL"/>
        </w:rPr>
        <w:t xml:space="preserve"> ernstiger is geworden</w:t>
      </w:r>
      <w:r w:rsidR="003C5AB4" w:rsidRPr="00BC74EF">
        <w:rPr>
          <w:lang w:val="nl-NL"/>
        </w:rPr>
        <w:t xml:space="preserve">. </w:t>
      </w:r>
      <w:r w:rsidR="003C5AB4" w:rsidRPr="00BC74EF">
        <w:rPr>
          <w:rStyle w:val="Voetnootmarkering"/>
          <w:lang w:val="nl-NL"/>
        </w:rPr>
        <w:footnoteReference w:id="38"/>
      </w:r>
    </w:p>
    <w:p w14:paraId="1DA7B5AD" w14:textId="4F3137AA" w:rsidR="00F6202B" w:rsidRPr="00BC74EF" w:rsidRDefault="00431A14">
      <w:pPr>
        <w:pStyle w:val="SingleTxtG"/>
        <w:tabs>
          <w:tab w:val="clear" w:pos="2268"/>
        </w:tabs>
        <w:rPr>
          <w:iCs/>
          <w:lang w:val="nl-NL"/>
        </w:rPr>
      </w:pPr>
      <w:r w:rsidRPr="00BC74EF">
        <w:rPr>
          <w:iCs/>
          <w:lang w:val="nl-NL"/>
        </w:rPr>
        <w:t>4</w:t>
      </w:r>
      <w:r w:rsidR="00357CBC">
        <w:rPr>
          <w:iCs/>
          <w:lang w:val="nl-NL"/>
        </w:rPr>
        <w:t>9</w:t>
      </w:r>
      <w:r w:rsidR="0006414B" w:rsidRPr="00BC74EF">
        <w:rPr>
          <w:iCs/>
          <w:lang w:val="nl-NL"/>
        </w:rPr>
        <w:t>.</w:t>
      </w:r>
      <w:r w:rsidR="0006414B" w:rsidRPr="00BC74EF">
        <w:rPr>
          <w:iCs/>
          <w:lang w:val="nl-NL"/>
        </w:rPr>
        <w:tab/>
      </w:r>
      <w:r w:rsidR="00873855">
        <w:rPr>
          <w:lang w:val="nl-NL"/>
        </w:rPr>
        <w:t>In geval van revalidatiemaatregelen</w:t>
      </w:r>
      <w:r w:rsidR="003C5AB4" w:rsidRPr="00BC74EF">
        <w:rPr>
          <w:lang w:val="nl-NL"/>
        </w:rPr>
        <w:t xml:space="preserve"> dienen de </w:t>
      </w:r>
      <w:r w:rsidR="003001A8">
        <w:rPr>
          <w:lang w:val="nl-NL"/>
        </w:rPr>
        <w:t>Staten die Partij</w:t>
      </w:r>
      <w:r w:rsidR="00E415FB" w:rsidRPr="00BC74EF">
        <w:rPr>
          <w:lang w:val="nl-NL"/>
        </w:rPr>
        <w:t xml:space="preserve"> zijn </w:t>
      </w:r>
      <w:r w:rsidR="003C5AB4" w:rsidRPr="00BC74EF">
        <w:rPr>
          <w:lang w:val="nl-NL"/>
        </w:rPr>
        <w:t xml:space="preserve">ervoor te zorgen dat werknemers met een handicap </w:t>
      </w:r>
      <w:r w:rsidR="00CA751A" w:rsidRPr="00BC74EF">
        <w:rPr>
          <w:lang w:val="nl-NL"/>
        </w:rPr>
        <w:t xml:space="preserve">als gevolg van </w:t>
      </w:r>
      <w:r w:rsidR="003C5AB4" w:rsidRPr="00BC74EF">
        <w:rPr>
          <w:lang w:val="nl-NL"/>
        </w:rPr>
        <w:t xml:space="preserve">een ongeval of </w:t>
      </w:r>
      <w:r w:rsidR="00CA751A" w:rsidRPr="00BC74EF">
        <w:rPr>
          <w:lang w:val="nl-NL"/>
        </w:rPr>
        <w:t xml:space="preserve">ziekte </w:t>
      </w:r>
      <w:r w:rsidR="003C5AB4" w:rsidRPr="00BC74EF">
        <w:rPr>
          <w:lang w:val="nl-NL"/>
        </w:rPr>
        <w:t xml:space="preserve">en, indien van toepassing, </w:t>
      </w:r>
      <w:r w:rsidR="004C1C99" w:rsidRPr="00BC74EF">
        <w:rPr>
          <w:lang w:val="nl-NL"/>
        </w:rPr>
        <w:t xml:space="preserve">hun </w:t>
      </w:r>
      <w:r w:rsidR="003C5AB4" w:rsidRPr="00BC74EF">
        <w:rPr>
          <w:lang w:val="nl-NL"/>
        </w:rPr>
        <w:t xml:space="preserve">personen ten laste een passende vergoeding ontvangen, onder meer voor de kosten van behandeling, inkomstenderving en andere kosten, </w:t>
      </w:r>
      <w:r w:rsidR="00873855">
        <w:rPr>
          <w:lang w:val="nl-NL"/>
        </w:rPr>
        <w:t>en</w:t>
      </w:r>
      <w:r w:rsidR="003C5AB4" w:rsidRPr="00BC74EF">
        <w:rPr>
          <w:lang w:val="nl-NL"/>
        </w:rPr>
        <w:t xml:space="preserve"> toegang </w:t>
      </w:r>
      <w:r w:rsidR="00873855">
        <w:rPr>
          <w:lang w:val="nl-NL"/>
        </w:rPr>
        <w:t xml:space="preserve">hebben tot </w:t>
      </w:r>
      <w:r w:rsidR="003C5AB4" w:rsidRPr="00BC74EF">
        <w:rPr>
          <w:lang w:val="nl-NL"/>
        </w:rPr>
        <w:t>revalidatiediensten.</w:t>
      </w:r>
      <w:r w:rsidR="003C5AB4" w:rsidRPr="00BC74EF">
        <w:rPr>
          <w:rStyle w:val="Voetnootmarkering"/>
          <w:lang w:val="nl-NL"/>
        </w:rPr>
        <w:footnoteReference w:id="39"/>
      </w:r>
    </w:p>
    <w:p w14:paraId="45F17148" w14:textId="71795AE8" w:rsidR="00F6202B" w:rsidRPr="00BC74EF" w:rsidRDefault="00357CBC">
      <w:pPr>
        <w:pStyle w:val="SingleTxtG"/>
        <w:tabs>
          <w:tab w:val="clear" w:pos="2268"/>
        </w:tabs>
        <w:rPr>
          <w:lang w:val="nl-NL"/>
        </w:rPr>
      </w:pPr>
      <w:r>
        <w:rPr>
          <w:lang w:val="nl-NL"/>
        </w:rPr>
        <w:t>50</w:t>
      </w:r>
      <w:r w:rsidR="0006414B" w:rsidRPr="00BC74EF">
        <w:rPr>
          <w:lang w:val="nl-NL"/>
        </w:rPr>
        <w:t>.</w:t>
      </w:r>
      <w:r w:rsidR="0006414B" w:rsidRPr="00BC74EF">
        <w:rPr>
          <w:lang w:val="nl-NL"/>
        </w:rPr>
        <w:tab/>
      </w:r>
      <w:r w:rsidR="003C5AB4" w:rsidRPr="00BC74EF">
        <w:rPr>
          <w:lang w:val="nl-NL"/>
        </w:rPr>
        <w:t xml:space="preserve">Programma's voor terugkeer naar werk kunnen ertoe leiden dat </w:t>
      </w:r>
      <w:r w:rsidR="003102A4" w:rsidRPr="00BC74EF">
        <w:rPr>
          <w:lang w:val="nl-NL"/>
        </w:rPr>
        <w:t xml:space="preserve">de betrokken werknemer in </w:t>
      </w:r>
      <w:r w:rsidR="00873855">
        <w:rPr>
          <w:lang w:val="nl-NL"/>
        </w:rPr>
        <w:t>zijn of haar</w:t>
      </w:r>
      <w:r w:rsidR="003C5AB4" w:rsidRPr="00BC74EF">
        <w:rPr>
          <w:lang w:val="nl-NL"/>
        </w:rPr>
        <w:t xml:space="preserve"> functie </w:t>
      </w:r>
      <w:r w:rsidR="003102A4" w:rsidRPr="00BC74EF">
        <w:rPr>
          <w:lang w:val="nl-NL"/>
        </w:rPr>
        <w:t>blijft</w:t>
      </w:r>
      <w:r w:rsidR="003C5AB4" w:rsidRPr="00BC74EF">
        <w:rPr>
          <w:lang w:val="nl-NL"/>
        </w:rPr>
        <w:t xml:space="preserve">, </w:t>
      </w:r>
      <w:r w:rsidR="003102A4" w:rsidRPr="00BC74EF">
        <w:rPr>
          <w:lang w:val="nl-NL"/>
        </w:rPr>
        <w:t xml:space="preserve">naar </w:t>
      </w:r>
      <w:r w:rsidR="003C5AB4" w:rsidRPr="00BC74EF">
        <w:rPr>
          <w:lang w:val="nl-NL"/>
        </w:rPr>
        <w:t xml:space="preserve">een andere functie bij dezelfde werkgever </w:t>
      </w:r>
      <w:r w:rsidR="003102A4" w:rsidRPr="00BC74EF">
        <w:rPr>
          <w:lang w:val="nl-NL"/>
        </w:rPr>
        <w:t xml:space="preserve">overstapt </w:t>
      </w:r>
      <w:r w:rsidR="003C5AB4" w:rsidRPr="00BC74EF">
        <w:rPr>
          <w:lang w:val="nl-NL"/>
        </w:rPr>
        <w:t xml:space="preserve">of een functie bij een andere werkgever </w:t>
      </w:r>
      <w:r w:rsidR="00873855">
        <w:rPr>
          <w:lang w:val="nl-NL"/>
        </w:rPr>
        <w:t>op</w:t>
      </w:r>
      <w:r w:rsidR="003C5AB4" w:rsidRPr="00BC74EF">
        <w:rPr>
          <w:lang w:val="nl-NL"/>
        </w:rPr>
        <w:t xml:space="preserve">neemt. </w:t>
      </w:r>
      <w:r w:rsidR="00152963" w:rsidRPr="00BC74EF">
        <w:rPr>
          <w:lang w:val="nl-NL"/>
        </w:rPr>
        <w:t xml:space="preserve">Deze </w:t>
      </w:r>
      <w:r w:rsidR="003102A4" w:rsidRPr="00BC74EF">
        <w:rPr>
          <w:lang w:val="nl-NL"/>
        </w:rPr>
        <w:t xml:space="preserve">programma's mogen </w:t>
      </w:r>
      <w:r w:rsidR="003C5AB4" w:rsidRPr="00BC74EF">
        <w:rPr>
          <w:lang w:val="nl-NL"/>
        </w:rPr>
        <w:t xml:space="preserve">niet worden gebruikt om </w:t>
      </w:r>
      <w:r w:rsidR="00873855">
        <w:rPr>
          <w:lang w:val="nl-NL"/>
        </w:rPr>
        <w:t>tewerkstelling</w:t>
      </w:r>
      <w:r w:rsidR="003C5AB4" w:rsidRPr="00BC74EF">
        <w:rPr>
          <w:lang w:val="nl-NL"/>
        </w:rPr>
        <w:t xml:space="preserve"> in gesegregeerde werkomgevingen te bevorderen. </w:t>
      </w:r>
    </w:p>
    <w:p w14:paraId="5A93C347" w14:textId="77777777" w:rsidR="00F6202B" w:rsidRPr="00BC74EF" w:rsidRDefault="002755DB">
      <w:pPr>
        <w:pStyle w:val="H1G"/>
        <w:rPr>
          <w:lang w:val="nl-NL"/>
        </w:rPr>
      </w:pPr>
      <w:r w:rsidRPr="00BC74EF">
        <w:rPr>
          <w:lang w:val="nl-NL"/>
        </w:rPr>
        <w:lastRenderedPageBreak/>
        <w:tab/>
      </w:r>
      <w:r w:rsidR="00E65790" w:rsidRPr="00BC74EF">
        <w:rPr>
          <w:lang w:val="nl-NL"/>
        </w:rPr>
        <w:t>M.</w:t>
      </w:r>
      <w:r w:rsidRPr="00BC74EF">
        <w:rPr>
          <w:lang w:val="nl-NL"/>
        </w:rPr>
        <w:tab/>
      </w:r>
      <w:r w:rsidR="003C5AB4" w:rsidRPr="00BC74EF">
        <w:rPr>
          <w:lang w:val="nl-NL"/>
        </w:rPr>
        <w:t xml:space="preserve">Slavernij, dienstbaarheid en gedwongen of verplichte arbeid </w:t>
      </w:r>
      <w:r w:rsidR="0088227A" w:rsidRPr="00BC74EF">
        <w:rPr>
          <w:lang w:val="nl-NL"/>
        </w:rPr>
        <w:t>(artikel 27, lid 2)</w:t>
      </w:r>
    </w:p>
    <w:p w14:paraId="71B758C0" w14:textId="671D7272" w:rsidR="00F6202B" w:rsidRPr="00BC74EF" w:rsidRDefault="00431A14">
      <w:pPr>
        <w:pStyle w:val="SingleTxtG"/>
        <w:tabs>
          <w:tab w:val="clear" w:pos="2268"/>
        </w:tabs>
        <w:rPr>
          <w:lang w:val="nl-NL"/>
        </w:rPr>
      </w:pPr>
      <w:r w:rsidRPr="00BC74EF">
        <w:rPr>
          <w:lang w:val="nl-NL"/>
        </w:rPr>
        <w:t>5</w:t>
      </w:r>
      <w:r w:rsidR="00357CBC">
        <w:rPr>
          <w:lang w:val="nl-NL"/>
        </w:rPr>
        <w:t>1</w:t>
      </w:r>
      <w:r w:rsidRPr="00BC74EF">
        <w:rPr>
          <w:lang w:val="nl-NL"/>
        </w:rPr>
        <w:t>.</w:t>
      </w:r>
      <w:r w:rsidRPr="00BC74EF">
        <w:rPr>
          <w:lang w:val="nl-NL"/>
        </w:rPr>
        <w:tab/>
      </w:r>
      <w:r w:rsidR="003C5AB4" w:rsidRPr="00BC74EF">
        <w:rPr>
          <w:lang w:val="nl-NL"/>
        </w:rPr>
        <w:t xml:space="preserve">Het verbod </w:t>
      </w:r>
      <w:r w:rsidR="005E3361" w:rsidRPr="00BC74EF">
        <w:rPr>
          <w:lang w:val="nl-NL"/>
        </w:rPr>
        <w:t xml:space="preserve">op </w:t>
      </w:r>
      <w:r w:rsidR="003C5AB4" w:rsidRPr="00BC74EF">
        <w:rPr>
          <w:lang w:val="nl-NL"/>
        </w:rPr>
        <w:t>slavernij, dienstbaarheid en gedwongen of verplichte arbeid vormt de kern van de internationale mensenrechtenwetgeving. Personen met een handicap</w:t>
      </w:r>
      <w:r w:rsidR="00115511" w:rsidRPr="00BC74EF">
        <w:rPr>
          <w:lang w:val="nl-NL"/>
        </w:rPr>
        <w:t>, waaronder kinderen</w:t>
      </w:r>
      <w:r w:rsidR="005E3361" w:rsidRPr="00BC74EF">
        <w:rPr>
          <w:lang w:val="nl-NL"/>
        </w:rPr>
        <w:t xml:space="preserve">, lopen </w:t>
      </w:r>
      <w:r w:rsidR="003C5AB4" w:rsidRPr="00BC74EF">
        <w:rPr>
          <w:iCs/>
          <w:lang w:val="nl-NL"/>
        </w:rPr>
        <w:t xml:space="preserve">een groter risico </w:t>
      </w:r>
      <w:r w:rsidR="00873855">
        <w:rPr>
          <w:iCs/>
          <w:lang w:val="nl-NL"/>
        </w:rPr>
        <w:t>te maken te krijgen met s</w:t>
      </w:r>
      <w:r w:rsidR="003C5AB4" w:rsidRPr="00BC74EF">
        <w:rPr>
          <w:iCs/>
          <w:lang w:val="nl-NL"/>
        </w:rPr>
        <w:t xml:space="preserve">ituaties van slavernij of dienstbaarheid, zoals </w:t>
      </w:r>
      <w:r w:rsidR="005E3361" w:rsidRPr="00BC74EF">
        <w:rPr>
          <w:iCs/>
          <w:lang w:val="nl-NL"/>
        </w:rPr>
        <w:t xml:space="preserve">gescheiden </w:t>
      </w:r>
      <w:r w:rsidR="00362C9C" w:rsidRPr="00BC74EF">
        <w:rPr>
          <w:iCs/>
          <w:lang w:val="nl-NL"/>
        </w:rPr>
        <w:t>arbeid</w:t>
      </w:r>
      <w:r w:rsidR="005E3361" w:rsidRPr="00BC74EF">
        <w:rPr>
          <w:iCs/>
          <w:lang w:val="nl-NL"/>
        </w:rPr>
        <w:t xml:space="preserve">, </w:t>
      </w:r>
      <w:r w:rsidR="003C5AB4" w:rsidRPr="00BC74EF">
        <w:rPr>
          <w:iCs/>
          <w:lang w:val="nl-NL"/>
        </w:rPr>
        <w:t>ontvoering en dwangarbeid</w:t>
      </w:r>
      <w:r w:rsidR="00F2417E" w:rsidRPr="00BC74EF">
        <w:rPr>
          <w:iCs/>
          <w:lang w:val="nl-NL"/>
        </w:rPr>
        <w:t>.</w:t>
      </w:r>
      <w:r w:rsidR="003C5AB4" w:rsidRPr="00BC74EF">
        <w:rPr>
          <w:rStyle w:val="Voetnootmarkering"/>
          <w:lang w:val="nl-NL"/>
        </w:rPr>
        <w:footnoteReference w:id="40"/>
      </w:r>
      <w:r w:rsidR="007752B5" w:rsidRPr="00BC74EF">
        <w:rPr>
          <w:iCs/>
          <w:lang w:val="nl-NL"/>
        </w:rPr>
        <w:t xml:space="preserve"> </w:t>
      </w:r>
      <w:r w:rsidR="0006309B">
        <w:rPr>
          <w:iCs/>
          <w:lang w:val="nl-NL"/>
        </w:rPr>
        <w:t>Andere situaties zij</w:t>
      </w:r>
      <w:r w:rsidR="003C5AB4" w:rsidRPr="00BC74EF">
        <w:rPr>
          <w:iCs/>
          <w:lang w:val="nl-NL"/>
        </w:rPr>
        <w:t>n schuldslavernij, mensenhandel</w:t>
      </w:r>
      <w:r w:rsidR="00362C9C" w:rsidRPr="00BC74EF">
        <w:rPr>
          <w:iCs/>
          <w:lang w:val="nl-NL"/>
        </w:rPr>
        <w:t xml:space="preserve">, bedelarij, </w:t>
      </w:r>
      <w:r w:rsidR="0018433A" w:rsidRPr="00BC74EF">
        <w:rPr>
          <w:iCs/>
          <w:lang w:val="nl-NL"/>
        </w:rPr>
        <w:t xml:space="preserve">werk in </w:t>
      </w:r>
      <w:proofErr w:type="spellStart"/>
      <w:r w:rsidR="0018433A" w:rsidRPr="00BC74EF">
        <w:rPr>
          <w:iCs/>
          <w:lang w:val="nl-NL"/>
        </w:rPr>
        <w:t>sweatshops</w:t>
      </w:r>
      <w:proofErr w:type="spellEnd"/>
      <w:r w:rsidR="0018433A" w:rsidRPr="00BC74EF">
        <w:rPr>
          <w:iCs/>
          <w:lang w:val="nl-NL"/>
        </w:rPr>
        <w:t xml:space="preserve"> </w:t>
      </w:r>
      <w:r w:rsidR="003C5AB4" w:rsidRPr="00BC74EF">
        <w:rPr>
          <w:iCs/>
          <w:lang w:val="nl-NL"/>
        </w:rPr>
        <w:t xml:space="preserve">of </w:t>
      </w:r>
      <w:r w:rsidR="0018433A" w:rsidRPr="00BC74EF">
        <w:rPr>
          <w:iCs/>
          <w:lang w:val="nl-NL"/>
        </w:rPr>
        <w:t xml:space="preserve">op boerderijen </w:t>
      </w:r>
      <w:r w:rsidR="00362C9C" w:rsidRPr="00BC74EF">
        <w:rPr>
          <w:iCs/>
          <w:lang w:val="nl-NL"/>
        </w:rPr>
        <w:t xml:space="preserve">en gescheiden </w:t>
      </w:r>
      <w:r w:rsidR="0006309B">
        <w:rPr>
          <w:iCs/>
          <w:lang w:val="nl-NL"/>
        </w:rPr>
        <w:t>werkomgevingen.</w:t>
      </w:r>
    </w:p>
    <w:p w14:paraId="21D4B56A" w14:textId="2B595A84" w:rsidR="00F6202B" w:rsidRPr="00BC74EF" w:rsidRDefault="00431A14">
      <w:pPr>
        <w:pStyle w:val="SingleTxtG"/>
        <w:tabs>
          <w:tab w:val="clear" w:pos="2268"/>
        </w:tabs>
        <w:rPr>
          <w:lang w:val="nl-NL"/>
        </w:rPr>
      </w:pPr>
      <w:r w:rsidRPr="00BC74EF">
        <w:rPr>
          <w:lang w:val="nl-NL"/>
        </w:rPr>
        <w:t>5</w:t>
      </w:r>
      <w:r w:rsidR="00357CBC">
        <w:rPr>
          <w:lang w:val="nl-NL"/>
        </w:rPr>
        <w:t>2</w:t>
      </w:r>
      <w:r w:rsidRPr="00BC74EF">
        <w:rPr>
          <w:lang w:val="nl-NL"/>
        </w:rPr>
        <w:t>.</w:t>
      </w:r>
      <w:r w:rsidRPr="00BC74EF">
        <w:rPr>
          <w:lang w:val="nl-NL"/>
        </w:rPr>
        <w:tab/>
      </w:r>
      <w:r w:rsidR="003C5AB4" w:rsidRPr="00BC74EF">
        <w:rPr>
          <w:lang w:val="nl-NL"/>
        </w:rPr>
        <w:t xml:space="preserve">De </w:t>
      </w:r>
      <w:r w:rsidR="003001A8">
        <w:rPr>
          <w:lang w:val="nl-NL"/>
        </w:rPr>
        <w:t>Staten die Partij</w:t>
      </w:r>
      <w:r w:rsidR="00E415FB" w:rsidRPr="00BC74EF">
        <w:rPr>
          <w:lang w:val="nl-NL"/>
        </w:rPr>
        <w:t xml:space="preserve"> zijn </w:t>
      </w:r>
      <w:r w:rsidR="003C5AB4" w:rsidRPr="00BC74EF">
        <w:rPr>
          <w:lang w:val="nl-NL"/>
        </w:rPr>
        <w:t>dienen uitgebreide maatregelen te ontwikkelen om alle gevallen van slavernij</w:t>
      </w:r>
      <w:r w:rsidR="0018433A" w:rsidRPr="00BC74EF">
        <w:rPr>
          <w:lang w:val="nl-NL"/>
        </w:rPr>
        <w:t xml:space="preserve">, </w:t>
      </w:r>
      <w:r w:rsidR="003C5AB4" w:rsidRPr="00BC74EF">
        <w:rPr>
          <w:lang w:val="nl-NL"/>
        </w:rPr>
        <w:t>dienstbaarheid en gedwongen of verplichte arbeid te</w:t>
      </w:r>
      <w:r w:rsidR="003237A8">
        <w:rPr>
          <w:lang w:val="nl-NL"/>
        </w:rPr>
        <w:t>gen te gaan</w:t>
      </w:r>
      <w:r w:rsidR="003C5AB4" w:rsidRPr="00BC74EF">
        <w:rPr>
          <w:lang w:val="nl-NL"/>
        </w:rPr>
        <w:t xml:space="preserve"> en </w:t>
      </w:r>
      <w:r w:rsidR="003237A8">
        <w:rPr>
          <w:lang w:val="nl-NL"/>
        </w:rPr>
        <w:t xml:space="preserve">vermeende gevallen </w:t>
      </w:r>
      <w:r w:rsidR="003C5AB4" w:rsidRPr="00BC74EF">
        <w:rPr>
          <w:lang w:val="nl-NL"/>
        </w:rPr>
        <w:t xml:space="preserve">te onderzoeken. </w:t>
      </w:r>
      <w:r w:rsidR="007752B5" w:rsidRPr="00BC74EF">
        <w:rPr>
          <w:lang w:val="nl-NL"/>
        </w:rPr>
        <w:t xml:space="preserve">Deze </w:t>
      </w:r>
      <w:r w:rsidR="003C5AB4" w:rsidRPr="00BC74EF">
        <w:rPr>
          <w:lang w:val="nl-NL"/>
        </w:rPr>
        <w:t xml:space="preserve">maatregelen </w:t>
      </w:r>
      <w:r w:rsidR="003237A8">
        <w:rPr>
          <w:lang w:val="nl-NL"/>
        </w:rPr>
        <w:t>moeten</w:t>
      </w:r>
      <w:r w:rsidR="003C5AB4" w:rsidRPr="00BC74EF">
        <w:rPr>
          <w:lang w:val="nl-NL"/>
        </w:rPr>
        <w:t xml:space="preserve"> bewustmakingsprogramma's, voorlichtingscampagnes, wettelijke bepalingen, </w:t>
      </w:r>
      <w:r w:rsidR="0018433A" w:rsidRPr="00BC74EF">
        <w:rPr>
          <w:lang w:val="nl-NL"/>
        </w:rPr>
        <w:t>klachtenprocedures</w:t>
      </w:r>
      <w:r w:rsidR="003C5AB4" w:rsidRPr="00BC74EF">
        <w:rPr>
          <w:lang w:val="nl-NL"/>
        </w:rPr>
        <w:t xml:space="preserve">, </w:t>
      </w:r>
      <w:r w:rsidR="0018433A" w:rsidRPr="00BC74EF">
        <w:rPr>
          <w:lang w:val="nl-NL"/>
        </w:rPr>
        <w:t>sanctieregelingen</w:t>
      </w:r>
      <w:r w:rsidR="003C5AB4" w:rsidRPr="00BC74EF">
        <w:rPr>
          <w:lang w:val="nl-NL"/>
        </w:rPr>
        <w:t xml:space="preserve">, </w:t>
      </w:r>
      <w:proofErr w:type="spellStart"/>
      <w:r w:rsidR="003C5AB4" w:rsidRPr="00BC74EF">
        <w:rPr>
          <w:lang w:val="nl-NL"/>
        </w:rPr>
        <w:t>onderzoeksmechanismen</w:t>
      </w:r>
      <w:proofErr w:type="spellEnd"/>
      <w:r w:rsidR="003C5AB4" w:rsidRPr="00BC74EF">
        <w:rPr>
          <w:lang w:val="nl-NL"/>
        </w:rPr>
        <w:t xml:space="preserve"> en herstel- en </w:t>
      </w:r>
      <w:r w:rsidR="0018433A" w:rsidRPr="00BC74EF">
        <w:rPr>
          <w:lang w:val="nl-NL"/>
        </w:rPr>
        <w:t>schadeloosstellingsmaatregelen omvatten</w:t>
      </w:r>
      <w:r w:rsidR="003C5AB4" w:rsidRPr="00BC74EF">
        <w:rPr>
          <w:lang w:val="nl-NL"/>
        </w:rPr>
        <w:t xml:space="preserve">. </w:t>
      </w:r>
    </w:p>
    <w:p w14:paraId="78405A21" w14:textId="7074D33B" w:rsidR="00F6202B" w:rsidRPr="00BC74EF" w:rsidRDefault="00431A14">
      <w:pPr>
        <w:pStyle w:val="SingleTxtG"/>
        <w:tabs>
          <w:tab w:val="clear" w:pos="2268"/>
        </w:tabs>
        <w:rPr>
          <w:lang w:val="nl-NL"/>
        </w:rPr>
      </w:pPr>
      <w:r w:rsidRPr="00BC74EF">
        <w:rPr>
          <w:lang w:val="nl-NL"/>
        </w:rPr>
        <w:t>5</w:t>
      </w:r>
      <w:r w:rsidR="00357CBC">
        <w:rPr>
          <w:lang w:val="nl-NL"/>
        </w:rPr>
        <w:t>3</w:t>
      </w:r>
      <w:r w:rsidRPr="00BC74EF">
        <w:rPr>
          <w:lang w:val="nl-NL"/>
        </w:rPr>
        <w:t>.</w:t>
      </w:r>
      <w:r w:rsidRPr="00BC74EF">
        <w:rPr>
          <w:lang w:val="nl-NL"/>
        </w:rPr>
        <w:tab/>
      </w:r>
      <w:r w:rsidR="003C5AB4" w:rsidRPr="00BC74EF">
        <w:rPr>
          <w:lang w:val="nl-NL"/>
        </w:rPr>
        <w:t xml:space="preserve">Om hun verplichtingen uit hoofde van artikel 27, lid 2, </w:t>
      </w:r>
      <w:r w:rsidR="0018433A" w:rsidRPr="00BC74EF">
        <w:rPr>
          <w:lang w:val="nl-NL"/>
        </w:rPr>
        <w:t xml:space="preserve">van het </w:t>
      </w:r>
      <w:r w:rsidR="003237A8">
        <w:rPr>
          <w:lang w:val="nl-NL"/>
        </w:rPr>
        <w:t>V</w:t>
      </w:r>
      <w:r w:rsidR="0018433A" w:rsidRPr="00BC74EF">
        <w:rPr>
          <w:lang w:val="nl-NL"/>
        </w:rPr>
        <w:t xml:space="preserve">erdrag na </w:t>
      </w:r>
      <w:r w:rsidR="003C5AB4" w:rsidRPr="00BC74EF">
        <w:rPr>
          <w:lang w:val="nl-NL"/>
        </w:rPr>
        <w:t xml:space="preserve">te komen, dienen de </w:t>
      </w:r>
      <w:r w:rsidR="003001A8">
        <w:rPr>
          <w:lang w:val="nl-NL"/>
        </w:rPr>
        <w:t>Staten die Partij</w:t>
      </w:r>
      <w:r w:rsidR="003C5AB4" w:rsidRPr="00BC74EF">
        <w:rPr>
          <w:lang w:val="nl-NL"/>
        </w:rPr>
        <w:t xml:space="preserve"> zijn aandacht te besteden aan het recht van personen met een handicap op keuze, instemming en vrijwaring van dwang</w:t>
      </w:r>
      <w:r w:rsidR="0018433A" w:rsidRPr="00BC74EF">
        <w:rPr>
          <w:lang w:val="nl-NL"/>
        </w:rPr>
        <w:t xml:space="preserve">. </w:t>
      </w:r>
      <w:r w:rsidR="003C5AB4" w:rsidRPr="00BC74EF">
        <w:rPr>
          <w:lang w:val="nl-NL"/>
        </w:rPr>
        <w:t xml:space="preserve">Keuze moet worden begrepen in de context van de schade die de arbeidsomstandigheden </w:t>
      </w:r>
      <w:r w:rsidR="0018433A" w:rsidRPr="00BC74EF">
        <w:rPr>
          <w:lang w:val="nl-NL"/>
        </w:rPr>
        <w:t xml:space="preserve">kunnen </w:t>
      </w:r>
      <w:r w:rsidR="003C5AB4" w:rsidRPr="00BC74EF">
        <w:rPr>
          <w:lang w:val="nl-NL"/>
        </w:rPr>
        <w:t xml:space="preserve">veroorzaken. In sommige gevallen </w:t>
      </w:r>
      <w:r w:rsidR="0018433A" w:rsidRPr="00BC74EF">
        <w:rPr>
          <w:lang w:val="nl-NL"/>
        </w:rPr>
        <w:t xml:space="preserve">kunnen </w:t>
      </w:r>
      <w:r w:rsidR="003C5AB4" w:rsidRPr="00BC74EF">
        <w:rPr>
          <w:lang w:val="nl-NL"/>
        </w:rPr>
        <w:t xml:space="preserve">arbeidsomstandigheden schadelijk zijn voor de gezondheid en het welzijn </w:t>
      </w:r>
      <w:r w:rsidR="0018433A" w:rsidRPr="00BC74EF">
        <w:rPr>
          <w:lang w:val="nl-NL"/>
        </w:rPr>
        <w:t xml:space="preserve">van personen met een handicap </w:t>
      </w:r>
      <w:r w:rsidR="003C5AB4" w:rsidRPr="00BC74EF">
        <w:rPr>
          <w:lang w:val="nl-NL"/>
        </w:rPr>
        <w:t xml:space="preserve">om redenen die verband houden met hun handicap. Deze </w:t>
      </w:r>
      <w:r w:rsidR="0018433A" w:rsidRPr="00BC74EF">
        <w:rPr>
          <w:lang w:val="nl-NL"/>
        </w:rPr>
        <w:t xml:space="preserve">personen hebben redelijke aanpassingen </w:t>
      </w:r>
      <w:r w:rsidR="003C5AB4" w:rsidRPr="00BC74EF">
        <w:rPr>
          <w:lang w:val="nl-NL"/>
        </w:rPr>
        <w:t>van de arbeidsomstandigheden</w:t>
      </w:r>
      <w:r w:rsidR="005D4380">
        <w:rPr>
          <w:lang w:val="nl-NL"/>
        </w:rPr>
        <w:t xml:space="preserve"> nodig</w:t>
      </w:r>
      <w:r w:rsidR="0018433A" w:rsidRPr="00BC74EF">
        <w:rPr>
          <w:lang w:val="nl-NL"/>
        </w:rPr>
        <w:t xml:space="preserve">, </w:t>
      </w:r>
      <w:r w:rsidR="005D4380">
        <w:rPr>
          <w:lang w:val="nl-NL"/>
        </w:rPr>
        <w:t>alsook</w:t>
      </w:r>
      <w:r w:rsidR="003C5AB4" w:rsidRPr="00BC74EF">
        <w:rPr>
          <w:lang w:val="nl-NL"/>
        </w:rPr>
        <w:t xml:space="preserve"> </w:t>
      </w:r>
      <w:r w:rsidR="005D4380">
        <w:rPr>
          <w:lang w:val="nl-NL"/>
        </w:rPr>
        <w:t>effectieve</w:t>
      </w:r>
      <w:r w:rsidR="003C5AB4" w:rsidRPr="00BC74EF">
        <w:rPr>
          <w:lang w:val="nl-NL"/>
        </w:rPr>
        <w:t xml:space="preserve"> sociale bescherming en andere steun </w:t>
      </w:r>
      <w:r w:rsidR="0018433A" w:rsidRPr="00BC74EF">
        <w:rPr>
          <w:lang w:val="nl-NL"/>
        </w:rPr>
        <w:t xml:space="preserve">om </w:t>
      </w:r>
      <w:r w:rsidR="003C5AB4" w:rsidRPr="00BC74EF">
        <w:rPr>
          <w:lang w:val="nl-NL"/>
        </w:rPr>
        <w:t xml:space="preserve">ervoor te zorgen dat zij niet gedwongen worden </w:t>
      </w:r>
      <w:r w:rsidR="00F2417E" w:rsidRPr="00BC74EF">
        <w:rPr>
          <w:lang w:val="nl-NL"/>
        </w:rPr>
        <w:t>tegen hun wil te werken</w:t>
      </w:r>
      <w:r w:rsidR="0018433A" w:rsidRPr="00BC74EF">
        <w:rPr>
          <w:lang w:val="nl-NL"/>
        </w:rPr>
        <w:t xml:space="preserve">. </w:t>
      </w:r>
      <w:r w:rsidR="0036109F" w:rsidRPr="00BC74EF">
        <w:rPr>
          <w:lang w:val="nl-NL"/>
        </w:rPr>
        <w:t xml:space="preserve">In andere </w:t>
      </w:r>
      <w:r w:rsidR="002424EA" w:rsidRPr="00BC74EF">
        <w:rPr>
          <w:lang w:val="nl-NL"/>
        </w:rPr>
        <w:t xml:space="preserve">gevallen ondervinden </w:t>
      </w:r>
      <w:r w:rsidR="0036109F" w:rsidRPr="00BC74EF">
        <w:rPr>
          <w:lang w:val="nl-NL"/>
        </w:rPr>
        <w:t xml:space="preserve">personen met een handicap schade door discriminatie als gevolg van segregatie, gebrek aan gelijke beloning voor </w:t>
      </w:r>
      <w:r w:rsidR="005D4380">
        <w:rPr>
          <w:lang w:val="nl-NL"/>
        </w:rPr>
        <w:t xml:space="preserve">gelijkwaardig </w:t>
      </w:r>
      <w:r w:rsidR="0036109F" w:rsidRPr="00BC74EF">
        <w:rPr>
          <w:lang w:val="nl-NL"/>
        </w:rPr>
        <w:t xml:space="preserve">werk en beperkte </w:t>
      </w:r>
      <w:r w:rsidR="005D4380">
        <w:rPr>
          <w:lang w:val="nl-NL"/>
        </w:rPr>
        <w:t>kansen op</w:t>
      </w:r>
      <w:r w:rsidR="0036109F" w:rsidRPr="00BC74EF">
        <w:rPr>
          <w:lang w:val="nl-NL"/>
        </w:rPr>
        <w:t xml:space="preserve"> vrij gekozen werk op gelijke voet met anderen. </w:t>
      </w:r>
      <w:r w:rsidR="00290023" w:rsidRPr="00BC74EF">
        <w:rPr>
          <w:lang w:val="nl-NL"/>
        </w:rPr>
        <w:t xml:space="preserve">Het risico van </w:t>
      </w:r>
      <w:r w:rsidR="003C5AB4" w:rsidRPr="00BC74EF">
        <w:rPr>
          <w:lang w:val="nl-NL"/>
        </w:rPr>
        <w:t xml:space="preserve">dwang </w:t>
      </w:r>
      <w:r w:rsidR="00290023" w:rsidRPr="00BC74EF">
        <w:rPr>
          <w:lang w:val="nl-NL"/>
        </w:rPr>
        <w:t xml:space="preserve">vloeit voort uit het feit dat </w:t>
      </w:r>
      <w:r w:rsidR="003C5AB4" w:rsidRPr="00BC74EF">
        <w:rPr>
          <w:lang w:val="nl-NL"/>
        </w:rPr>
        <w:t xml:space="preserve">personen met een handicap vaak geconfronteerd </w:t>
      </w:r>
      <w:r w:rsidR="00290023" w:rsidRPr="00BC74EF">
        <w:rPr>
          <w:lang w:val="nl-NL"/>
        </w:rPr>
        <w:t xml:space="preserve">worden met </w:t>
      </w:r>
      <w:r w:rsidR="003C5AB4" w:rsidRPr="00BC74EF">
        <w:rPr>
          <w:lang w:val="nl-NL"/>
        </w:rPr>
        <w:t xml:space="preserve">een </w:t>
      </w:r>
      <w:r w:rsidR="005D4380">
        <w:rPr>
          <w:lang w:val="nl-NL"/>
        </w:rPr>
        <w:t>grotere</w:t>
      </w:r>
      <w:r w:rsidR="003C5AB4" w:rsidRPr="00BC74EF">
        <w:rPr>
          <w:lang w:val="nl-NL"/>
        </w:rPr>
        <w:t xml:space="preserve"> sociale kwetsbaarheid, een gebrek aan </w:t>
      </w:r>
      <w:r w:rsidR="005D4380">
        <w:rPr>
          <w:lang w:val="nl-NL"/>
        </w:rPr>
        <w:t>reële</w:t>
      </w:r>
      <w:r w:rsidR="003C5AB4" w:rsidRPr="00BC74EF">
        <w:rPr>
          <w:lang w:val="nl-NL"/>
        </w:rPr>
        <w:t xml:space="preserve"> alternatieven en</w:t>
      </w:r>
      <w:r w:rsidR="005D4380">
        <w:rPr>
          <w:lang w:val="nl-NL"/>
        </w:rPr>
        <w:t xml:space="preserve"> uiteindelijk uitbuitende</w:t>
      </w:r>
      <w:r w:rsidR="003C5AB4" w:rsidRPr="00BC74EF">
        <w:rPr>
          <w:lang w:val="nl-NL"/>
        </w:rPr>
        <w:t xml:space="preserve"> afhankelijkheids- of zorgrelaties. Dit </w:t>
      </w:r>
      <w:r w:rsidR="00290023" w:rsidRPr="00BC74EF">
        <w:rPr>
          <w:lang w:val="nl-NL"/>
        </w:rPr>
        <w:t xml:space="preserve">risico moet </w:t>
      </w:r>
      <w:r w:rsidR="003C5AB4" w:rsidRPr="00BC74EF">
        <w:rPr>
          <w:lang w:val="nl-NL"/>
        </w:rPr>
        <w:t xml:space="preserve">in aanmerking worden genomen </w:t>
      </w:r>
      <w:r w:rsidR="00290023" w:rsidRPr="00BC74EF">
        <w:rPr>
          <w:lang w:val="nl-NL"/>
        </w:rPr>
        <w:t xml:space="preserve">om </w:t>
      </w:r>
      <w:r w:rsidR="003C5AB4" w:rsidRPr="00BC74EF">
        <w:rPr>
          <w:lang w:val="nl-NL"/>
        </w:rPr>
        <w:t xml:space="preserve">na te gaan </w:t>
      </w:r>
      <w:r w:rsidR="00290023" w:rsidRPr="00BC74EF">
        <w:rPr>
          <w:lang w:val="nl-NL"/>
        </w:rPr>
        <w:t xml:space="preserve">of er </w:t>
      </w:r>
      <w:r w:rsidR="003C5AB4" w:rsidRPr="00BC74EF">
        <w:rPr>
          <w:lang w:val="nl-NL"/>
        </w:rPr>
        <w:t xml:space="preserve">toestemming is gegeven. Zelfs wanneer toestemming is gegeven, moet </w:t>
      </w:r>
      <w:r w:rsidR="005D4380">
        <w:rPr>
          <w:lang w:val="nl-NL"/>
        </w:rPr>
        <w:t>worden nagegaan of er gee</w:t>
      </w:r>
      <w:r w:rsidR="003C5AB4" w:rsidRPr="00BC74EF">
        <w:rPr>
          <w:lang w:val="nl-NL"/>
        </w:rPr>
        <w:t>n bredere context van uitbuiting of dwang</w:t>
      </w:r>
      <w:r w:rsidR="005D4380">
        <w:rPr>
          <w:lang w:val="nl-NL"/>
        </w:rPr>
        <w:t xml:space="preserve"> bestaat</w:t>
      </w:r>
      <w:r w:rsidR="003C5AB4" w:rsidRPr="00BC74EF">
        <w:rPr>
          <w:lang w:val="nl-NL"/>
        </w:rPr>
        <w:t xml:space="preserve">. Toestemming </w:t>
      </w:r>
      <w:r w:rsidR="005D4380">
        <w:rPr>
          <w:lang w:val="nl-NL"/>
        </w:rPr>
        <w:t xml:space="preserve">alleen </w:t>
      </w:r>
      <w:r w:rsidR="003C5AB4" w:rsidRPr="00BC74EF">
        <w:rPr>
          <w:lang w:val="nl-NL"/>
        </w:rPr>
        <w:t>is niet voldoende om aan te geven dat iemand zich niet in een situatie van slavernij, dienstbaarheid of mensenhandel bevindt.</w:t>
      </w:r>
    </w:p>
    <w:p w14:paraId="57CE8DC9" w14:textId="3BA33381" w:rsidR="00F6202B" w:rsidRPr="00BC74EF" w:rsidRDefault="002755DB">
      <w:pPr>
        <w:pStyle w:val="HChG"/>
        <w:rPr>
          <w:lang w:val="nl-NL"/>
        </w:rPr>
      </w:pPr>
      <w:r w:rsidRPr="00BC74EF">
        <w:rPr>
          <w:lang w:val="nl-NL"/>
        </w:rPr>
        <w:tab/>
        <w:t>IV</w:t>
      </w:r>
      <w:r w:rsidR="00ED0005" w:rsidRPr="00BC74EF">
        <w:rPr>
          <w:lang w:val="nl-NL"/>
        </w:rPr>
        <w:t>.</w:t>
      </w:r>
      <w:r w:rsidRPr="00BC74EF">
        <w:rPr>
          <w:lang w:val="nl-NL"/>
        </w:rPr>
        <w:tab/>
      </w:r>
      <w:r w:rsidR="00C61089" w:rsidRPr="00BC74EF">
        <w:rPr>
          <w:lang w:val="nl-NL"/>
        </w:rPr>
        <w:t xml:space="preserve">Verplichtingen van de </w:t>
      </w:r>
      <w:r w:rsidR="003001A8">
        <w:rPr>
          <w:lang w:val="nl-NL"/>
        </w:rPr>
        <w:t>Staten die Partij</w:t>
      </w:r>
      <w:r w:rsidR="003C5AB4" w:rsidRPr="00BC74EF">
        <w:rPr>
          <w:lang w:val="nl-NL"/>
        </w:rPr>
        <w:t xml:space="preserve"> zijn</w:t>
      </w:r>
    </w:p>
    <w:p w14:paraId="2A224425" w14:textId="77777777" w:rsidR="00F6202B" w:rsidRPr="00BC74EF" w:rsidRDefault="002755DB">
      <w:pPr>
        <w:pStyle w:val="H1G"/>
        <w:rPr>
          <w:lang w:val="nl-NL"/>
        </w:rPr>
      </w:pPr>
      <w:r w:rsidRPr="00BC74EF">
        <w:rPr>
          <w:lang w:val="nl-NL"/>
        </w:rPr>
        <w:tab/>
      </w:r>
      <w:r w:rsidR="00E65790" w:rsidRPr="00BC74EF">
        <w:rPr>
          <w:lang w:val="nl-NL"/>
        </w:rPr>
        <w:t>A.</w:t>
      </w:r>
      <w:r w:rsidRPr="00BC74EF">
        <w:rPr>
          <w:lang w:val="nl-NL"/>
        </w:rPr>
        <w:tab/>
      </w:r>
      <w:r w:rsidR="003C5AB4" w:rsidRPr="00BC74EF">
        <w:rPr>
          <w:lang w:val="nl-NL"/>
        </w:rPr>
        <w:t>Algemene verplichtingen</w:t>
      </w:r>
    </w:p>
    <w:p w14:paraId="7F9CF709" w14:textId="4BBC5813" w:rsidR="00F6202B" w:rsidRPr="00BC74EF" w:rsidRDefault="00431A14">
      <w:pPr>
        <w:pStyle w:val="SingleTxtG"/>
        <w:tabs>
          <w:tab w:val="clear" w:pos="2268"/>
        </w:tabs>
        <w:rPr>
          <w:lang w:val="nl-NL"/>
        </w:rPr>
      </w:pPr>
      <w:r w:rsidRPr="00BC74EF">
        <w:rPr>
          <w:lang w:val="nl-NL"/>
        </w:rPr>
        <w:t>5</w:t>
      </w:r>
      <w:r w:rsidR="00357CBC">
        <w:rPr>
          <w:lang w:val="nl-NL"/>
        </w:rPr>
        <w:t>4</w:t>
      </w:r>
      <w:r w:rsidRPr="00BC74EF">
        <w:rPr>
          <w:lang w:val="nl-NL"/>
        </w:rPr>
        <w:t>.</w:t>
      </w:r>
      <w:r w:rsidRPr="00BC74EF">
        <w:rPr>
          <w:lang w:val="nl-NL"/>
        </w:rPr>
        <w:tab/>
      </w:r>
      <w:r w:rsidR="003C5AB4" w:rsidRPr="00BC74EF">
        <w:rPr>
          <w:lang w:val="nl-NL"/>
        </w:rPr>
        <w:t xml:space="preserve">Artikel 4, lid 2, van het </w:t>
      </w:r>
      <w:r w:rsidR="005D4380">
        <w:rPr>
          <w:lang w:val="nl-NL"/>
        </w:rPr>
        <w:t>V</w:t>
      </w:r>
      <w:r w:rsidR="003C5AB4" w:rsidRPr="00BC74EF">
        <w:rPr>
          <w:lang w:val="nl-NL"/>
        </w:rPr>
        <w:t xml:space="preserve">erdrag vereist dat de </w:t>
      </w:r>
      <w:r w:rsidR="003001A8">
        <w:rPr>
          <w:lang w:val="nl-NL"/>
        </w:rPr>
        <w:t>Staten die Partij</w:t>
      </w:r>
      <w:r w:rsidR="003C5AB4" w:rsidRPr="00BC74EF">
        <w:rPr>
          <w:lang w:val="nl-NL"/>
        </w:rPr>
        <w:t xml:space="preserve"> zijn met </w:t>
      </w:r>
      <w:r w:rsidR="007E553C" w:rsidRPr="00BC74EF">
        <w:rPr>
          <w:lang w:val="nl-NL"/>
        </w:rPr>
        <w:t>betrekking tot de economische, sociale en culturele rechten</w:t>
      </w:r>
      <w:r w:rsidR="00EB5B0D">
        <w:rPr>
          <w:lang w:val="nl-NL"/>
        </w:rPr>
        <w:t>, naar vermogen</w:t>
      </w:r>
      <w:r w:rsidR="007E553C" w:rsidRPr="00BC74EF">
        <w:rPr>
          <w:lang w:val="nl-NL"/>
        </w:rPr>
        <w:t xml:space="preserve"> </w:t>
      </w:r>
      <w:r w:rsidR="00EB5B0D">
        <w:rPr>
          <w:lang w:val="nl-NL"/>
        </w:rPr>
        <w:t>en</w:t>
      </w:r>
      <w:r w:rsidR="003C5AB4" w:rsidRPr="00BC74EF">
        <w:rPr>
          <w:lang w:val="nl-NL"/>
        </w:rPr>
        <w:t xml:space="preserve"> </w:t>
      </w:r>
      <w:r w:rsidR="00EB5B0D">
        <w:rPr>
          <w:lang w:val="nl-NL"/>
        </w:rPr>
        <w:t xml:space="preserve">zo nodig in het kader van internationale samenwerking, maatregelen </w:t>
      </w:r>
      <w:r w:rsidR="003C5AB4" w:rsidRPr="00BC74EF">
        <w:rPr>
          <w:lang w:val="nl-NL"/>
        </w:rPr>
        <w:t xml:space="preserve">nemen teneinde geleidelijk tot de volledige verwezenlijking van deze rechten te komen. De voornaamste algemene verplichting van de </w:t>
      </w:r>
      <w:r w:rsidR="003001A8">
        <w:rPr>
          <w:lang w:val="nl-NL"/>
        </w:rPr>
        <w:t>Staten die Partij</w:t>
      </w:r>
      <w:r w:rsidR="003C5AB4" w:rsidRPr="00BC74EF">
        <w:rPr>
          <w:lang w:val="nl-NL"/>
        </w:rPr>
        <w:t xml:space="preserve"> zijn </w:t>
      </w:r>
      <w:r w:rsidR="007E553C" w:rsidRPr="00BC74EF">
        <w:rPr>
          <w:lang w:val="nl-NL"/>
        </w:rPr>
        <w:t xml:space="preserve">is </w:t>
      </w:r>
      <w:r w:rsidR="003C5AB4" w:rsidRPr="00BC74EF">
        <w:rPr>
          <w:lang w:val="nl-NL"/>
        </w:rPr>
        <w:t xml:space="preserve">derhalve de geleidelijke verwezenlijking van het recht op werk. </w:t>
      </w:r>
      <w:r w:rsidR="00EB5B0D">
        <w:rPr>
          <w:lang w:val="nl-NL"/>
        </w:rPr>
        <w:t>Er dienen weloverwogen</w:t>
      </w:r>
      <w:r w:rsidR="00747B2D" w:rsidRPr="00BC74EF">
        <w:rPr>
          <w:lang w:val="nl-NL"/>
        </w:rPr>
        <w:t xml:space="preserve">, concrete en gerichte stappen </w:t>
      </w:r>
      <w:r w:rsidR="00EB5B0D">
        <w:rPr>
          <w:lang w:val="nl-NL"/>
        </w:rPr>
        <w:t>te worden genomen o</w:t>
      </w:r>
      <w:r w:rsidR="00747B2D" w:rsidRPr="00BC74EF">
        <w:rPr>
          <w:lang w:val="nl-NL"/>
        </w:rPr>
        <w:t xml:space="preserve">m dat doel te bereiken </w:t>
      </w:r>
      <w:r w:rsidR="003C5AB4" w:rsidRPr="00BC74EF">
        <w:rPr>
          <w:lang w:val="nl-NL"/>
        </w:rPr>
        <w:t xml:space="preserve">binnen een redelijk korte tijd na de inwerkingtreding van het verdrag voor de betrokken </w:t>
      </w:r>
      <w:r w:rsidR="00414CCB">
        <w:rPr>
          <w:lang w:val="nl-NL"/>
        </w:rPr>
        <w:t xml:space="preserve">Staat die </w:t>
      </w:r>
      <w:r w:rsidR="00414CCB" w:rsidRPr="00ED6C60">
        <w:rPr>
          <w:lang w:val="nl-NL"/>
        </w:rPr>
        <w:t>Partij</w:t>
      </w:r>
      <w:r w:rsidR="00E415FB" w:rsidRPr="00ED6C60">
        <w:rPr>
          <w:lang w:val="nl-NL"/>
        </w:rPr>
        <w:t xml:space="preserve"> is</w:t>
      </w:r>
      <w:r w:rsidR="003C5AB4" w:rsidRPr="00ED6C60">
        <w:rPr>
          <w:lang w:val="nl-NL"/>
        </w:rPr>
        <w:t>.</w:t>
      </w:r>
      <w:r w:rsidR="003C5AB4" w:rsidRPr="00ED6C60">
        <w:rPr>
          <w:rStyle w:val="Voetnootmarkering"/>
          <w:lang w:val="nl-NL"/>
        </w:rPr>
        <w:footnoteReference w:id="41"/>
      </w:r>
      <w:r w:rsidR="00EB5B0D" w:rsidRPr="00ED6C60">
        <w:rPr>
          <w:lang w:val="nl-NL"/>
        </w:rPr>
        <w:t xml:space="preserve"> Deze verplichting komt bovenop de onmiddellijke verplichting om non-discriminatie met betrekking tot het recht op werk uit hoofde van artikel 4, lid 1, en de artikelen 5 en 27 te waarborgen.</w:t>
      </w:r>
    </w:p>
    <w:p w14:paraId="43BE0BEE" w14:textId="18E269B3" w:rsidR="00F6202B" w:rsidRPr="00BC74EF" w:rsidRDefault="00431A14">
      <w:pPr>
        <w:pStyle w:val="SingleTxtG"/>
        <w:tabs>
          <w:tab w:val="clear" w:pos="2268"/>
        </w:tabs>
        <w:rPr>
          <w:lang w:val="nl-NL"/>
        </w:rPr>
      </w:pPr>
      <w:r w:rsidRPr="00BC74EF">
        <w:rPr>
          <w:lang w:val="nl-NL"/>
        </w:rPr>
        <w:t>5</w:t>
      </w:r>
      <w:r w:rsidR="00357CBC">
        <w:rPr>
          <w:lang w:val="nl-NL"/>
        </w:rPr>
        <w:t>5</w:t>
      </w:r>
      <w:r w:rsidR="0006414B" w:rsidRPr="00BC74EF">
        <w:rPr>
          <w:lang w:val="nl-NL"/>
        </w:rPr>
        <w:t>.</w:t>
      </w:r>
      <w:r w:rsidR="0006414B" w:rsidRPr="00BC74EF">
        <w:rPr>
          <w:lang w:val="nl-NL"/>
        </w:rPr>
        <w:tab/>
      </w:r>
      <w:r w:rsidR="00322086" w:rsidRPr="00BC74EF">
        <w:rPr>
          <w:lang w:val="nl-NL"/>
        </w:rPr>
        <w:t>Het recht van alle</w:t>
      </w:r>
      <w:r w:rsidR="00FF34DA">
        <w:rPr>
          <w:lang w:val="nl-NL"/>
        </w:rPr>
        <w:t xml:space="preserve"> personen met een handicap </w:t>
      </w:r>
      <w:r w:rsidR="00322086" w:rsidRPr="00BC74EF">
        <w:rPr>
          <w:lang w:val="nl-NL"/>
        </w:rPr>
        <w:t xml:space="preserve">op werk </w:t>
      </w:r>
      <w:r w:rsidR="001B1017" w:rsidRPr="00BC74EF">
        <w:rPr>
          <w:lang w:val="nl-NL"/>
        </w:rPr>
        <w:t xml:space="preserve">legt </w:t>
      </w:r>
      <w:r w:rsidR="00EE7277" w:rsidRPr="00BC74EF">
        <w:rPr>
          <w:lang w:val="nl-NL"/>
        </w:rPr>
        <w:t xml:space="preserve">de </w:t>
      </w:r>
      <w:r w:rsidR="003001A8">
        <w:rPr>
          <w:lang w:val="nl-NL"/>
        </w:rPr>
        <w:t>Staten die Partij</w:t>
      </w:r>
      <w:r w:rsidR="00EE7277" w:rsidRPr="00BC74EF">
        <w:rPr>
          <w:lang w:val="nl-NL"/>
        </w:rPr>
        <w:t xml:space="preserve"> zijn drie soorten of niveaus van </w:t>
      </w:r>
      <w:r w:rsidR="003C5AB4" w:rsidRPr="00BC74EF">
        <w:rPr>
          <w:lang w:val="nl-NL"/>
        </w:rPr>
        <w:t>verplichtingen op</w:t>
      </w:r>
      <w:r w:rsidR="00EE7277" w:rsidRPr="00BC74EF">
        <w:rPr>
          <w:lang w:val="nl-NL"/>
        </w:rPr>
        <w:t xml:space="preserve">: de verplichtingen </w:t>
      </w:r>
      <w:r w:rsidR="003C5AB4" w:rsidRPr="00BC74EF">
        <w:rPr>
          <w:lang w:val="nl-NL"/>
        </w:rPr>
        <w:t xml:space="preserve">tot eerbiediging, </w:t>
      </w:r>
      <w:r w:rsidR="00EB5B0D">
        <w:rPr>
          <w:lang w:val="nl-NL"/>
        </w:rPr>
        <w:t xml:space="preserve">de verplichting tot </w:t>
      </w:r>
      <w:r w:rsidR="003C5AB4" w:rsidRPr="00BC74EF">
        <w:rPr>
          <w:lang w:val="nl-NL"/>
        </w:rPr>
        <w:t xml:space="preserve">bescherming en </w:t>
      </w:r>
      <w:r w:rsidR="00EB5B0D">
        <w:rPr>
          <w:lang w:val="nl-NL"/>
        </w:rPr>
        <w:t xml:space="preserve">de verplichting tot </w:t>
      </w:r>
      <w:r w:rsidR="003C5AB4" w:rsidRPr="00BC74EF">
        <w:rPr>
          <w:lang w:val="nl-NL"/>
        </w:rPr>
        <w:t>nakoming. De verplichting tot nakoming omvat dan weer verplichtingen tot vergemakkelijking, verstrekking en bevordering.</w:t>
      </w:r>
      <w:r w:rsidR="003C5AB4" w:rsidRPr="00BC74EF">
        <w:rPr>
          <w:rStyle w:val="Voetnootmarkering"/>
          <w:lang w:val="nl-NL"/>
        </w:rPr>
        <w:footnoteReference w:id="42"/>
      </w:r>
      <w:r w:rsidR="003C5AB4" w:rsidRPr="00BC74EF">
        <w:rPr>
          <w:lang w:val="nl-NL"/>
        </w:rPr>
        <w:t xml:space="preserve"> De </w:t>
      </w:r>
      <w:r w:rsidR="003C5AB4" w:rsidRPr="00BC74EF">
        <w:rPr>
          <w:lang w:val="nl-NL"/>
        </w:rPr>
        <w:lastRenderedPageBreak/>
        <w:t xml:space="preserve">verplichting tot eerbiediging is vervat in </w:t>
      </w:r>
      <w:r w:rsidR="00EE7277" w:rsidRPr="00BC74EF">
        <w:rPr>
          <w:lang w:val="nl-NL"/>
        </w:rPr>
        <w:t xml:space="preserve">artikel 4, lid 1, </w:t>
      </w:r>
      <w:r w:rsidR="003C5AB4" w:rsidRPr="00BC74EF">
        <w:rPr>
          <w:lang w:val="nl-NL"/>
        </w:rPr>
        <w:t xml:space="preserve">onder d), </w:t>
      </w:r>
      <w:r w:rsidR="00322086" w:rsidRPr="00BC74EF">
        <w:rPr>
          <w:lang w:val="nl-NL"/>
        </w:rPr>
        <w:t xml:space="preserve">van het </w:t>
      </w:r>
      <w:r w:rsidR="00EB5B0D">
        <w:rPr>
          <w:lang w:val="nl-NL"/>
        </w:rPr>
        <w:t>V</w:t>
      </w:r>
      <w:r w:rsidR="00322086" w:rsidRPr="00BC74EF">
        <w:rPr>
          <w:lang w:val="nl-NL"/>
        </w:rPr>
        <w:t>erdrag</w:t>
      </w:r>
      <w:r w:rsidR="00EE7277" w:rsidRPr="00BC74EF">
        <w:rPr>
          <w:lang w:val="nl-NL"/>
        </w:rPr>
        <w:t xml:space="preserve">, </w:t>
      </w:r>
      <w:r w:rsidR="003C5AB4" w:rsidRPr="00BC74EF">
        <w:rPr>
          <w:lang w:val="nl-NL"/>
        </w:rPr>
        <w:t xml:space="preserve">waarin de </w:t>
      </w:r>
      <w:r w:rsidR="00EB5B0D">
        <w:rPr>
          <w:lang w:val="nl-NL"/>
        </w:rPr>
        <w:t xml:space="preserve">Staat die Partij is </w:t>
      </w:r>
      <w:r w:rsidR="003C5AB4" w:rsidRPr="00BC74EF">
        <w:rPr>
          <w:lang w:val="nl-NL"/>
        </w:rPr>
        <w:t xml:space="preserve">zich dient te onthouden van </w:t>
      </w:r>
      <w:r w:rsidR="00EE7277" w:rsidRPr="00BC74EF">
        <w:rPr>
          <w:lang w:val="nl-NL"/>
        </w:rPr>
        <w:t xml:space="preserve">iedere </w:t>
      </w:r>
      <w:r w:rsidR="003C5AB4" w:rsidRPr="00BC74EF">
        <w:rPr>
          <w:lang w:val="nl-NL"/>
        </w:rPr>
        <w:t xml:space="preserve">handeling of praktijk die onverenigbaar is met het </w:t>
      </w:r>
      <w:r w:rsidR="00EB5B0D">
        <w:rPr>
          <w:lang w:val="nl-NL"/>
        </w:rPr>
        <w:t>V</w:t>
      </w:r>
      <w:r w:rsidR="003C5AB4" w:rsidRPr="00BC74EF">
        <w:rPr>
          <w:lang w:val="nl-NL"/>
        </w:rPr>
        <w:t xml:space="preserve">erdrag. De verplichting </w:t>
      </w:r>
      <w:r w:rsidR="00EB5B0D">
        <w:rPr>
          <w:lang w:val="nl-NL"/>
        </w:rPr>
        <w:t>tot</w:t>
      </w:r>
      <w:r w:rsidR="003C5AB4" w:rsidRPr="00BC74EF">
        <w:rPr>
          <w:lang w:val="nl-NL"/>
        </w:rPr>
        <w:t xml:space="preserve"> bescherm</w:t>
      </w:r>
      <w:r w:rsidR="00EB5B0D">
        <w:rPr>
          <w:lang w:val="nl-NL"/>
        </w:rPr>
        <w:t>ing</w:t>
      </w:r>
      <w:r w:rsidR="003C5AB4" w:rsidRPr="00BC74EF">
        <w:rPr>
          <w:lang w:val="nl-NL"/>
        </w:rPr>
        <w:t xml:space="preserve"> is vervat in </w:t>
      </w:r>
      <w:r w:rsidR="00EE7277" w:rsidRPr="00BC74EF">
        <w:rPr>
          <w:lang w:val="nl-NL"/>
        </w:rPr>
        <w:t xml:space="preserve">artikel 4, lid 1, </w:t>
      </w:r>
      <w:r w:rsidR="003C5AB4" w:rsidRPr="00BC74EF">
        <w:rPr>
          <w:lang w:val="nl-NL"/>
        </w:rPr>
        <w:t>onder c) en e)</w:t>
      </w:r>
      <w:r w:rsidR="00EE7277" w:rsidRPr="00BC74EF">
        <w:rPr>
          <w:lang w:val="nl-NL"/>
        </w:rPr>
        <w:t xml:space="preserve">, waarin wordt bepaald dat </w:t>
      </w:r>
      <w:r w:rsidR="003C5AB4" w:rsidRPr="00BC74EF">
        <w:rPr>
          <w:lang w:val="nl-NL"/>
        </w:rPr>
        <w:t xml:space="preserve">de </w:t>
      </w:r>
      <w:r w:rsidR="00414CCB">
        <w:rPr>
          <w:lang w:val="nl-NL"/>
        </w:rPr>
        <w:t>Staat die Partij</w:t>
      </w:r>
      <w:r w:rsidR="00E415FB" w:rsidRPr="00BC74EF">
        <w:rPr>
          <w:lang w:val="nl-NL"/>
        </w:rPr>
        <w:t xml:space="preserve"> is </w:t>
      </w:r>
      <w:r w:rsidR="003C5AB4" w:rsidRPr="00BC74EF">
        <w:rPr>
          <w:lang w:val="nl-NL"/>
        </w:rPr>
        <w:t>in al zijn beleid</w:t>
      </w:r>
      <w:r w:rsidR="00EB5B0D">
        <w:rPr>
          <w:lang w:val="nl-NL"/>
        </w:rPr>
        <w:t>smaatregelen</w:t>
      </w:r>
      <w:r w:rsidR="003C5AB4" w:rsidRPr="00BC74EF">
        <w:rPr>
          <w:lang w:val="nl-NL"/>
        </w:rPr>
        <w:t xml:space="preserve"> en programma's rekening </w:t>
      </w:r>
      <w:r w:rsidR="00EE7277" w:rsidRPr="00BC74EF">
        <w:rPr>
          <w:lang w:val="nl-NL"/>
        </w:rPr>
        <w:t xml:space="preserve">moet houden met de bescherming en bevordering van </w:t>
      </w:r>
      <w:r w:rsidR="003C5AB4" w:rsidRPr="00BC74EF">
        <w:rPr>
          <w:lang w:val="nl-NL"/>
        </w:rPr>
        <w:t>de mensenrechten van</w:t>
      </w:r>
      <w:r w:rsidR="00FF34DA">
        <w:rPr>
          <w:lang w:val="nl-NL"/>
        </w:rPr>
        <w:t xml:space="preserve"> personen met een handicap </w:t>
      </w:r>
      <w:r w:rsidR="003C5AB4" w:rsidRPr="00BC74EF">
        <w:rPr>
          <w:lang w:val="nl-NL"/>
        </w:rPr>
        <w:t xml:space="preserve">en </w:t>
      </w:r>
      <w:r w:rsidR="00EE7277" w:rsidRPr="00BC74EF">
        <w:rPr>
          <w:lang w:val="nl-NL"/>
        </w:rPr>
        <w:t xml:space="preserve">alle passende maatregelen moet nemen om </w:t>
      </w:r>
      <w:r w:rsidR="003C5AB4" w:rsidRPr="00BC74EF">
        <w:rPr>
          <w:lang w:val="nl-NL"/>
        </w:rPr>
        <w:t xml:space="preserve">discriminatie </w:t>
      </w:r>
      <w:r w:rsidR="00EE7277" w:rsidRPr="00BC74EF">
        <w:rPr>
          <w:lang w:val="nl-NL"/>
        </w:rPr>
        <w:t xml:space="preserve">op grond van handicap </w:t>
      </w:r>
      <w:r w:rsidR="003C5AB4" w:rsidRPr="00BC74EF">
        <w:rPr>
          <w:lang w:val="nl-NL"/>
        </w:rPr>
        <w:t xml:space="preserve">door derden, met inbegrip van particuliere ondernemingen, uit te </w:t>
      </w:r>
      <w:r w:rsidR="00EE7277" w:rsidRPr="00BC74EF">
        <w:rPr>
          <w:lang w:val="nl-NL"/>
        </w:rPr>
        <w:t>bannen</w:t>
      </w:r>
      <w:r w:rsidR="003C5AB4" w:rsidRPr="00BC74EF">
        <w:rPr>
          <w:lang w:val="nl-NL"/>
        </w:rPr>
        <w:t xml:space="preserve">. De verplichting tot nakoming is vervat in </w:t>
      </w:r>
      <w:r w:rsidR="00EB5B0D">
        <w:rPr>
          <w:lang w:val="nl-NL"/>
        </w:rPr>
        <w:t xml:space="preserve">onder meer </w:t>
      </w:r>
      <w:r w:rsidR="00EE7277" w:rsidRPr="00BC74EF">
        <w:rPr>
          <w:lang w:val="nl-NL"/>
        </w:rPr>
        <w:t xml:space="preserve">artikel 4, lid 1, onder f) en g), </w:t>
      </w:r>
      <w:r w:rsidR="00EB5B0D">
        <w:rPr>
          <w:lang w:val="nl-NL"/>
        </w:rPr>
        <w:t>dat de</w:t>
      </w:r>
      <w:r w:rsidR="00EE7277" w:rsidRPr="00BC74EF">
        <w:rPr>
          <w:lang w:val="nl-NL"/>
        </w:rPr>
        <w:t xml:space="preserve"> Staat verplicht </w:t>
      </w:r>
      <w:r w:rsidR="003C5AB4" w:rsidRPr="00BC74EF">
        <w:rPr>
          <w:lang w:val="nl-NL"/>
        </w:rPr>
        <w:t xml:space="preserve">onderzoek en ontwikkeling </w:t>
      </w:r>
      <w:r w:rsidR="00EE7277" w:rsidRPr="00BC74EF">
        <w:rPr>
          <w:lang w:val="nl-NL"/>
        </w:rPr>
        <w:t xml:space="preserve">van universeel </w:t>
      </w:r>
      <w:r w:rsidR="003C5AB4" w:rsidRPr="00BC74EF">
        <w:rPr>
          <w:lang w:val="nl-NL"/>
        </w:rPr>
        <w:t xml:space="preserve">ontworpen goederen en diensten en nieuwe hulptechnologieën </w:t>
      </w:r>
      <w:r w:rsidR="00EB5B0D">
        <w:rPr>
          <w:lang w:val="nl-NL"/>
        </w:rPr>
        <w:t>uit te voeren</w:t>
      </w:r>
      <w:r w:rsidR="00EE7277" w:rsidRPr="00BC74EF">
        <w:rPr>
          <w:lang w:val="nl-NL"/>
        </w:rPr>
        <w:t xml:space="preserve"> of te bevorderen</w:t>
      </w:r>
      <w:r w:rsidR="003C5AB4" w:rsidRPr="00BC74EF">
        <w:rPr>
          <w:lang w:val="nl-NL"/>
        </w:rPr>
        <w:t>.</w:t>
      </w:r>
    </w:p>
    <w:p w14:paraId="6CDC8672" w14:textId="61A30343" w:rsidR="00F6202B" w:rsidRPr="00BC74EF" w:rsidRDefault="00431A14">
      <w:pPr>
        <w:pStyle w:val="SingleTxtG"/>
        <w:tabs>
          <w:tab w:val="clear" w:pos="2268"/>
        </w:tabs>
        <w:rPr>
          <w:lang w:val="nl-NL"/>
        </w:rPr>
      </w:pPr>
      <w:r w:rsidRPr="00BC74EF">
        <w:rPr>
          <w:lang w:val="nl-NL"/>
        </w:rPr>
        <w:t>5</w:t>
      </w:r>
      <w:r w:rsidR="00357CBC">
        <w:rPr>
          <w:lang w:val="nl-NL"/>
        </w:rPr>
        <w:t>6</w:t>
      </w:r>
      <w:r w:rsidR="0006414B" w:rsidRPr="00BC74EF">
        <w:rPr>
          <w:lang w:val="nl-NL"/>
        </w:rPr>
        <w:t>.</w:t>
      </w:r>
      <w:r w:rsidR="0006414B" w:rsidRPr="00BC74EF">
        <w:rPr>
          <w:lang w:val="nl-NL"/>
        </w:rPr>
        <w:tab/>
      </w:r>
      <w:r w:rsidR="003C5AB4" w:rsidRPr="00BC74EF">
        <w:rPr>
          <w:lang w:val="nl-NL"/>
        </w:rPr>
        <w:t xml:space="preserve">Regressieve maatregelen zijn </w:t>
      </w:r>
      <w:r w:rsidR="00417DCB" w:rsidRPr="00BC74EF">
        <w:rPr>
          <w:lang w:val="nl-NL"/>
        </w:rPr>
        <w:t xml:space="preserve">niet toegestaan met </w:t>
      </w:r>
      <w:r w:rsidR="003C5AB4" w:rsidRPr="00BC74EF">
        <w:rPr>
          <w:lang w:val="nl-NL"/>
        </w:rPr>
        <w:t xml:space="preserve">betrekking tot </w:t>
      </w:r>
      <w:r w:rsidR="00417DCB" w:rsidRPr="00BC74EF">
        <w:rPr>
          <w:lang w:val="nl-NL"/>
        </w:rPr>
        <w:t xml:space="preserve">de onder het Verdrag vallende rechten, met inbegrip van </w:t>
      </w:r>
      <w:r w:rsidR="003C5AB4" w:rsidRPr="00BC74EF">
        <w:rPr>
          <w:lang w:val="nl-NL"/>
        </w:rPr>
        <w:t xml:space="preserve">het recht op arbeid. Indien opzettelijk regressieve maatregelen worden genomen, moet de </w:t>
      </w:r>
      <w:r w:rsidR="00EF7111">
        <w:rPr>
          <w:lang w:val="nl-NL"/>
        </w:rPr>
        <w:t>Staat die Partij is</w:t>
      </w:r>
      <w:r w:rsidR="003C5AB4" w:rsidRPr="00BC74EF">
        <w:rPr>
          <w:lang w:val="nl-NL"/>
        </w:rPr>
        <w:t xml:space="preserve"> aantonen dat deze zijn ingevoerd na de meest zorgvuldige afweging van alle alternatieven</w:t>
      </w:r>
      <w:r w:rsidR="000450AF" w:rsidRPr="00BC74EF">
        <w:rPr>
          <w:lang w:val="nl-NL"/>
        </w:rPr>
        <w:t xml:space="preserve">, </w:t>
      </w:r>
      <w:r w:rsidR="003C5AB4" w:rsidRPr="00BC74EF">
        <w:rPr>
          <w:lang w:val="nl-NL"/>
        </w:rPr>
        <w:t xml:space="preserve">dat zij </w:t>
      </w:r>
      <w:r w:rsidR="00EF7111">
        <w:rPr>
          <w:lang w:val="nl-NL"/>
        </w:rPr>
        <w:t>volledig</w:t>
      </w:r>
      <w:r w:rsidR="003C5AB4" w:rsidRPr="00BC74EF">
        <w:rPr>
          <w:lang w:val="nl-NL"/>
        </w:rPr>
        <w:t xml:space="preserve"> gerechtvaardigd zijn</w:t>
      </w:r>
      <w:r w:rsidR="005069F9" w:rsidRPr="00BC74EF">
        <w:rPr>
          <w:lang w:val="nl-NL"/>
        </w:rPr>
        <w:t xml:space="preserve">, </w:t>
      </w:r>
      <w:r w:rsidR="003C5AB4" w:rsidRPr="00BC74EF">
        <w:rPr>
          <w:lang w:val="nl-NL"/>
        </w:rPr>
        <w:t xml:space="preserve">onder verwijzing naar het geheel van de in het </w:t>
      </w:r>
      <w:r w:rsidR="00EF7111">
        <w:rPr>
          <w:lang w:val="nl-NL"/>
        </w:rPr>
        <w:t>V</w:t>
      </w:r>
      <w:r w:rsidR="003C5AB4" w:rsidRPr="00BC74EF">
        <w:rPr>
          <w:lang w:val="nl-NL"/>
        </w:rPr>
        <w:t>erdrag vastgelegde rechten</w:t>
      </w:r>
      <w:r w:rsidR="005069F9" w:rsidRPr="00BC74EF">
        <w:rPr>
          <w:lang w:val="nl-NL"/>
        </w:rPr>
        <w:t xml:space="preserve">, </w:t>
      </w:r>
      <w:r w:rsidR="003C5AB4" w:rsidRPr="00BC74EF">
        <w:rPr>
          <w:lang w:val="nl-NL"/>
        </w:rPr>
        <w:t xml:space="preserve">in de context van het volledige gebruik van de maximaal beschikbare middelen van de </w:t>
      </w:r>
      <w:r w:rsidR="00EF7111">
        <w:rPr>
          <w:lang w:val="nl-NL"/>
        </w:rPr>
        <w:t>Staat die Partij is</w:t>
      </w:r>
      <w:r w:rsidR="000B04B0" w:rsidRPr="00BC74EF">
        <w:rPr>
          <w:lang w:val="nl-NL"/>
        </w:rPr>
        <w:t>,</w:t>
      </w:r>
      <w:r w:rsidR="003C5AB4" w:rsidRPr="00BC74EF">
        <w:rPr>
          <w:rStyle w:val="Voetnootmarkering"/>
          <w:lang w:val="nl-NL"/>
        </w:rPr>
        <w:footnoteReference w:id="43"/>
      </w:r>
      <w:r w:rsidR="000B04B0" w:rsidRPr="00BC74EF">
        <w:rPr>
          <w:lang w:val="nl-NL"/>
        </w:rPr>
        <w:t xml:space="preserve"> en dat zij geen onevenredige gevolgen hebben voor personen met een handicap.</w:t>
      </w:r>
    </w:p>
    <w:p w14:paraId="631EAD36" w14:textId="1379B936" w:rsidR="00F6202B" w:rsidRPr="00BC74EF" w:rsidRDefault="00431A14" w:rsidP="00C22001">
      <w:pPr>
        <w:pStyle w:val="SingleTxtG"/>
        <w:tabs>
          <w:tab w:val="clear" w:pos="2268"/>
        </w:tabs>
        <w:rPr>
          <w:lang w:val="nl-NL"/>
        </w:rPr>
      </w:pPr>
      <w:r w:rsidRPr="00BC74EF">
        <w:rPr>
          <w:lang w:val="nl-NL"/>
        </w:rPr>
        <w:t>5</w:t>
      </w:r>
      <w:r w:rsidR="00357CBC">
        <w:rPr>
          <w:lang w:val="nl-NL"/>
        </w:rPr>
        <w:t>7</w:t>
      </w:r>
      <w:r w:rsidR="0006414B" w:rsidRPr="00BC74EF">
        <w:rPr>
          <w:lang w:val="nl-NL"/>
        </w:rPr>
        <w:t>.</w:t>
      </w:r>
      <w:r w:rsidR="0006414B" w:rsidRPr="00BC74EF">
        <w:rPr>
          <w:lang w:val="nl-NL"/>
        </w:rPr>
        <w:tab/>
      </w:r>
      <w:r w:rsidR="003C5AB4" w:rsidRPr="00BC74EF">
        <w:rPr>
          <w:lang w:val="nl-NL"/>
        </w:rPr>
        <w:t xml:space="preserve">De verplichting tot </w:t>
      </w:r>
      <w:r w:rsidR="003C5AB4" w:rsidRPr="00BC74EF">
        <w:rPr>
          <w:iCs/>
          <w:lang w:val="nl-NL"/>
        </w:rPr>
        <w:t xml:space="preserve">eerbiediging </w:t>
      </w:r>
      <w:r w:rsidR="003C5AB4" w:rsidRPr="00BC74EF">
        <w:rPr>
          <w:lang w:val="nl-NL"/>
        </w:rPr>
        <w:t xml:space="preserve">vereist </w:t>
      </w:r>
      <w:r w:rsidR="00EF7111">
        <w:rPr>
          <w:lang w:val="nl-NL"/>
        </w:rPr>
        <w:t xml:space="preserve">dat </w:t>
      </w:r>
      <w:r w:rsidR="003C5AB4" w:rsidRPr="00BC74EF">
        <w:rPr>
          <w:lang w:val="nl-NL"/>
        </w:rPr>
        <w:t xml:space="preserve">de </w:t>
      </w:r>
      <w:r w:rsidR="003001A8">
        <w:rPr>
          <w:lang w:val="nl-NL"/>
        </w:rPr>
        <w:t>Staten die Partij</w:t>
      </w:r>
      <w:r w:rsidR="00E415FB" w:rsidRPr="00BC74EF">
        <w:rPr>
          <w:lang w:val="nl-NL"/>
        </w:rPr>
        <w:t xml:space="preserve"> zijn </w:t>
      </w:r>
      <w:r w:rsidR="00DB0CBE">
        <w:rPr>
          <w:lang w:val="nl-NL"/>
        </w:rPr>
        <w:t>het genot van het recht op werk niet direct of indirect verhinderen</w:t>
      </w:r>
      <w:r w:rsidR="003C5AB4" w:rsidRPr="00BC74EF">
        <w:rPr>
          <w:lang w:val="nl-NL"/>
        </w:rPr>
        <w:t xml:space="preserve">, onder meer door </w:t>
      </w:r>
      <w:r w:rsidR="00C22001">
        <w:rPr>
          <w:lang w:val="nl-NL"/>
        </w:rPr>
        <w:t>de toegang tot fatsoenlijk werk voor personen met een handicap niet te weigeren of te beperken, door</w:t>
      </w:r>
      <w:r w:rsidR="003C5AB4" w:rsidRPr="00BC74EF">
        <w:rPr>
          <w:lang w:val="nl-NL"/>
        </w:rPr>
        <w:t xml:space="preserve"> </w:t>
      </w:r>
      <w:r w:rsidR="000230A7" w:rsidRPr="00BC74EF">
        <w:rPr>
          <w:lang w:val="nl-NL"/>
        </w:rPr>
        <w:t xml:space="preserve">werkgevers </w:t>
      </w:r>
      <w:r w:rsidR="00C22001">
        <w:rPr>
          <w:lang w:val="nl-NL"/>
        </w:rPr>
        <w:t>niet v</w:t>
      </w:r>
      <w:r w:rsidR="003C5AB4" w:rsidRPr="00BC74EF">
        <w:rPr>
          <w:lang w:val="nl-NL"/>
        </w:rPr>
        <w:t xml:space="preserve">rij te stellen van </w:t>
      </w:r>
      <w:r w:rsidR="00C22001">
        <w:rPr>
          <w:lang w:val="nl-NL"/>
        </w:rPr>
        <w:t xml:space="preserve">de </w:t>
      </w:r>
      <w:r w:rsidR="003C5AB4" w:rsidRPr="00BC74EF">
        <w:rPr>
          <w:lang w:val="nl-NL"/>
        </w:rPr>
        <w:t xml:space="preserve">betaling van </w:t>
      </w:r>
      <w:r w:rsidR="000230A7" w:rsidRPr="00BC74EF">
        <w:rPr>
          <w:lang w:val="nl-NL"/>
        </w:rPr>
        <w:t xml:space="preserve">het </w:t>
      </w:r>
      <w:r w:rsidR="003C5AB4" w:rsidRPr="00BC74EF">
        <w:rPr>
          <w:lang w:val="nl-NL"/>
        </w:rPr>
        <w:t>nationale minimumloon</w:t>
      </w:r>
      <w:r w:rsidR="00C22001">
        <w:rPr>
          <w:lang w:val="nl-NL"/>
        </w:rPr>
        <w:t xml:space="preserve"> op grond van een handicap</w:t>
      </w:r>
      <w:r w:rsidR="003C5AB4" w:rsidRPr="00BC74EF">
        <w:rPr>
          <w:lang w:val="nl-NL"/>
        </w:rPr>
        <w:t xml:space="preserve"> en</w:t>
      </w:r>
      <w:r w:rsidR="00C22001">
        <w:rPr>
          <w:lang w:val="nl-NL"/>
        </w:rPr>
        <w:t xml:space="preserve"> door</w:t>
      </w:r>
      <w:r w:rsidR="003C5AB4" w:rsidRPr="00BC74EF">
        <w:rPr>
          <w:lang w:val="nl-NL"/>
        </w:rPr>
        <w:t xml:space="preserve"> dwangarbeid of verplichte arbeid te verbieden. De </w:t>
      </w:r>
      <w:r w:rsidR="003001A8">
        <w:rPr>
          <w:lang w:val="nl-NL"/>
        </w:rPr>
        <w:t>Staten die Partij</w:t>
      </w:r>
      <w:r w:rsidR="00E415FB" w:rsidRPr="00BC74EF">
        <w:rPr>
          <w:lang w:val="nl-NL"/>
        </w:rPr>
        <w:t xml:space="preserve"> zijn, zijn </w:t>
      </w:r>
      <w:r w:rsidR="003C5AB4" w:rsidRPr="00BC74EF">
        <w:rPr>
          <w:lang w:val="nl-NL"/>
        </w:rPr>
        <w:t>verplicht het recht van vrouwen met een handicap en jonge mensen met een handicap op toegang tot billijke en gunstige arbeidsvoorwaarden te eerbiedigen</w:t>
      </w:r>
      <w:r w:rsidR="000230A7" w:rsidRPr="00BC74EF">
        <w:rPr>
          <w:lang w:val="nl-NL"/>
        </w:rPr>
        <w:t xml:space="preserve">, </w:t>
      </w:r>
      <w:r w:rsidR="003C5AB4" w:rsidRPr="00BC74EF">
        <w:rPr>
          <w:lang w:val="nl-NL"/>
        </w:rPr>
        <w:t xml:space="preserve">en </w:t>
      </w:r>
      <w:r w:rsidR="000230A7" w:rsidRPr="00BC74EF">
        <w:rPr>
          <w:lang w:val="nl-NL"/>
        </w:rPr>
        <w:t xml:space="preserve">dienen </w:t>
      </w:r>
      <w:r w:rsidR="003C5AB4" w:rsidRPr="00BC74EF">
        <w:rPr>
          <w:lang w:val="nl-NL"/>
        </w:rPr>
        <w:t xml:space="preserve">derhalve maatregelen te nemen ter bestrijding van </w:t>
      </w:r>
      <w:r w:rsidR="00C230D0" w:rsidRPr="00BC74EF">
        <w:rPr>
          <w:lang w:val="nl-NL"/>
        </w:rPr>
        <w:t xml:space="preserve">meervoudige en </w:t>
      </w:r>
      <w:r w:rsidR="003C5AB4" w:rsidRPr="00BC74EF">
        <w:rPr>
          <w:lang w:val="nl-NL"/>
        </w:rPr>
        <w:t xml:space="preserve">intersectionele discriminatie en ter </w:t>
      </w:r>
      <w:r w:rsidR="006D63D8" w:rsidRPr="00BC74EF">
        <w:rPr>
          <w:lang w:val="nl-NL"/>
        </w:rPr>
        <w:t xml:space="preserve">verwezenlijking van </w:t>
      </w:r>
      <w:r w:rsidR="003C5AB4" w:rsidRPr="00BC74EF">
        <w:rPr>
          <w:lang w:val="nl-NL"/>
        </w:rPr>
        <w:t xml:space="preserve">gelijke </w:t>
      </w:r>
      <w:r w:rsidR="006D63D8" w:rsidRPr="00BC74EF">
        <w:rPr>
          <w:lang w:val="nl-NL"/>
        </w:rPr>
        <w:t xml:space="preserve">kansen </w:t>
      </w:r>
      <w:r w:rsidR="000230A7" w:rsidRPr="00BC74EF">
        <w:rPr>
          <w:lang w:val="nl-NL"/>
        </w:rPr>
        <w:t xml:space="preserve">op </w:t>
      </w:r>
      <w:r w:rsidR="00C22001">
        <w:rPr>
          <w:lang w:val="nl-NL"/>
        </w:rPr>
        <w:t>bevordering</w:t>
      </w:r>
      <w:r w:rsidR="003C5AB4" w:rsidRPr="00BC74EF">
        <w:rPr>
          <w:lang w:val="nl-NL"/>
        </w:rPr>
        <w:t xml:space="preserve"> en gelijke beloning voor </w:t>
      </w:r>
      <w:r w:rsidR="00C22001">
        <w:rPr>
          <w:lang w:val="nl-NL"/>
        </w:rPr>
        <w:t xml:space="preserve">gelijkwaardige </w:t>
      </w:r>
      <w:r w:rsidR="003C5AB4" w:rsidRPr="00BC74EF">
        <w:rPr>
          <w:lang w:val="nl-NL"/>
        </w:rPr>
        <w:t xml:space="preserve">arbeid. Bij elke beoordeling door de </w:t>
      </w:r>
      <w:r w:rsidR="003001A8">
        <w:rPr>
          <w:lang w:val="nl-NL"/>
        </w:rPr>
        <w:t>Staten die Partij</w:t>
      </w:r>
      <w:r w:rsidR="003C5AB4" w:rsidRPr="00BC74EF">
        <w:rPr>
          <w:lang w:val="nl-NL"/>
        </w:rPr>
        <w:t xml:space="preserve"> zijn van de </w:t>
      </w:r>
      <w:r w:rsidR="006D63D8" w:rsidRPr="00BC74EF">
        <w:rPr>
          <w:lang w:val="nl-NL"/>
        </w:rPr>
        <w:t>"</w:t>
      </w:r>
      <w:r w:rsidR="003C5AB4" w:rsidRPr="00BC74EF">
        <w:rPr>
          <w:lang w:val="nl-NL"/>
        </w:rPr>
        <w:t>waarde</w:t>
      </w:r>
      <w:r w:rsidR="006D63D8" w:rsidRPr="00BC74EF">
        <w:rPr>
          <w:lang w:val="nl-NL"/>
        </w:rPr>
        <w:t xml:space="preserve">" </w:t>
      </w:r>
      <w:r w:rsidR="003C5AB4" w:rsidRPr="00BC74EF">
        <w:rPr>
          <w:lang w:val="nl-NL"/>
        </w:rPr>
        <w:t xml:space="preserve">van werk </w:t>
      </w:r>
      <w:r w:rsidR="000230A7" w:rsidRPr="00BC74EF">
        <w:rPr>
          <w:lang w:val="nl-NL"/>
        </w:rPr>
        <w:t xml:space="preserve">moeten </w:t>
      </w:r>
      <w:r w:rsidR="003C5AB4" w:rsidRPr="00BC74EF">
        <w:rPr>
          <w:lang w:val="nl-NL"/>
        </w:rPr>
        <w:t xml:space="preserve">stereotypen </w:t>
      </w:r>
      <w:r w:rsidR="00DB0CBE">
        <w:rPr>
          <w:lang w:val="nl-NL"/>
        </w:rPr>
        <w:t>over</w:t>
      </w:r>
      <w:r w:rsidR="002D6507" w:rsidRPr="00BC74EF">
        <w:rPr>
          <w:lang w:val="nl-NL"/>
        </w:rPr>
        <w:t xml:space="preserve"> </w:t>
      </w:r>
      <w:r w:rsidR="003C5AB4" w:rsidRPr="00BC74EF">
        <w:rPr>
          <w:lang w:val="nl-NL"/>
        </w:rPr>
        <w:t xml:space="preserve">personen met een handicap worden vermeden, ook </w:t>
      </w:r>
      <w:r w:rsidR="006D63D8" w:rsidRPr="00BC74EF">
        <w:rPr>
          <w:lang w:val="nl-NL"/>
        </w:rPr>
        <w:t xml:space="preserve">wat betreft </w:t>
      </w:r>
      <w:r w:rsidR="003C5AB4" w:rsidRPr="00BC74EF">
        <w:rPr>
          <w:lang w:val="nl-NL"/>
        </w:rPr>
        <w:t xml:space="preserve">hun geslacht </w:t>
      </w:r>
      <w:r w:rsidR="002D6507" w:rsidRPr="00BC74EF">
        <w:rPr>
          <w:lang w:val="nl-NL"/>
        </w:rPr>
        <w:t xml:space="preserve">of </w:t>
      </w:r>
      <w:r w:rsidR="003C5AB4" w:rsidRPr="00BC74EF">
        <w:rPr>
          <w:lang w:val="nl-NL"/>
        </w:rPr>
        <w:t>gender</w:t>
      </w:r>
      <w:r w:rsidR="006D63D8" w:rsidRPr="00BC74EF">
        <w:rPr>
          <w:lang w:val="nl-NL"/>
        </w:rPr>
        <w:t xml:space="preserve">, </w:t>
      </w:r>
      <w:r w:rsidR="003C5AB4" w:rsidRPr="00BC74EF">
        <w:rPr>
          <w:lang w:val="nl-NL"/>
        </w:rPr>
        <w:t xml:space="preserve">die </w:t>
      </w:r>
      <w:r w:rsidR="00C22001">
        <w:rPr>
          <w:lang w:val="nl-NL"/>
        </w:rPr>
        <w:t xml:space="preserve">zouden kunnen leiden tot de onderwaardering van </w:t>
      </w:r>
      <w:r w:rsidR="003C5AB4" w:rsidRPr="00BC74EF">
        <w:rPr>
          <w:lang w:val="nl-NL"/>
        </w:rPr>
        <w:t>werk dat overwegend door vrouwen met een handicap wordt verricht.</w:t>
      </w:r>
      <w:r w:rsidR="003C5AB4" w:rsidRPr="00BC74EF">
        <w:rPr>
          <w:rStyle w:val="Voetnootmarkering"/>
          <w:lang w:val="nl-NL"/>
        </w:rPr>
        <w:footnoteReference w:id="44"/>
      </w:r>
      <w:r w:rsidR="003C5AB4" w:rsidRPr="00BC74EF">
        <w:rPr>
          <w:lang w:val="nl-NL"/>
        </w:rPr>
        <w:t xml:space="preserve"> Daarnaast dienen de </w:t>
      </w:r>
      <w:r w:rsidR="003001A8">
        <w:rPr>
          <w:lang w:val="nl-NL"/>
        </w:rPr>
        <w:t>Staten die Partij</w:t>
      </w:r>
      <w:r w:rsidR="00E415FB" w:rsidRPr="00BC74EF">
        <w:rPr>
          <w:lang w:val="nl-NL"/>
        </w:rPr>
        <w:t xml:space="preserve"> zijn </w:t>
      </w:r>
      <w:r w:rsidR="003C5AB4" w:rsidRPr="00BC74EF">
        <w:rPr>
          <w:lang w:val="nl-NL"/>
        </w:rPr>
        <w:t>onmiddellijk maatregelen te nemen om in wetten, beleid en programma</w:t>
      </w:r>
      <w:r w:rsidR="00DB0CBE">
        <w:rPr>
          <w:lang w:val="nl-NL"/>
        </w:rPr>
        <w:t>’</w:t>
      </w:r>
      <w:r w:rsidR="003C5AB4" w:rsidRPr="00BC74EF">
        <w:rPr>
          <w:lang w:val="nl-NL"/>
        </w:rPr>
        <w:t xml:space="preserve">s </w:t>
      </w:r>
      <w:r w:rsidR="00DB0CBE">
        <w:rPr>
          <w:lang w:val="nl-NL"/>
        </w:rPr>
        <w:t xml:space="preserve">belemmeringen </w:t>
      </w:r>
      <w:r w:rsidR="003C5AB4" w:rsidRPr="00BC74EF">
        <w:rPr>
          <w:lang w:val="nl-NL"/>
        </w:rPr>
        <w:t xml:space="preserve">weg te nemen die een handicap associëren </w:t>
      </w:r>
      <w:r w:rsidR="006D63D8" w:rsidRPr="00BC74EF">
        <w:rPr>
          <w:lang w:val="nl-NL"/>
        </w:rPr>
        <w:t xml:space="preserve">met </w:t>
      </w:r>
      <w:r w:rsidR="007971E7">
        <w:rPr>
          <w:lang w:val="nl-NL"/>
        </w:rPr>
        <w:t xml:space="preserve">het </w:t>
      </w:r>
      <w:r w:rsidR="00DB0CBE">
        <w:rPr>
          <w:lang w:val="nl-NL"/>
        </w:rPr>
        <w:t>“</w:t>
      </w:r>
      <w:r w:rsidR="003C5AB4" w:rsidRPr="00BC74EF">
        <w:rPr>
          <w:lang w:val="nl-NL"/>
        </w:rPr>
        <w:t>onvermogen om te werken</w:t>
      </w:r>
      <w:r w:rsidR="007971E7">
        <w:rPr>
          <w:lang w:val="nl-NL"/>
        </w:rPr>
        <w:t>”</w:t>
      </w:r>
      <w:r w:rsidR="003C5AB4" w:rsidRPr="00BC74EF">
        <w:rPr>
          <w:lang w:val="nl-NL"/>
        </w:rPr>
        <w:t xml:space="preserve">. </w:t>
      </w:r>
      <w:r w:rsidR="00DB0CBE">
        <w:rPr>
          <w:lang w:val="nl-NL"/>
        </w:rPr>
        <w:t>Zo</w:t>
      </w:r>
      <w:r w:rsidR="003C5AB4" w:rsidRPr="00BC74EF">
        <w:rPr>
          <w:lang w:val="nl-NL"/>
        </w:rPr>
        <w:t xml:space="preserve"> mogen maatregelen ter beoordeling of classificatie van handicap </w:t>
      </w:r>
      <w:r w:rsidR="00DB0CBE">
        <w:rPr>
          <w:lang w:val="nl-NL"/>
        </w:rPr>
        <w:t>niet berusten</w:t>
      </w:r>
      <w:r w:rsidR="003C5AB4" w:rsidRPr="00BC74EF">
        <w:rPr>
          <w:lang w:val="nl-NL"/>
        </w:rPr>
        <w:t xml:space="preserve"> op of leiden tot </w:t>
      </w:r>
      <w:r w:rsidR="00DB0CBE">
        <w:rPr>
          <w:lang w:val="nl-NL"/>
        </w:rPr>
        <w:t xml:space="preserve">de </w:t>
      </w:r>
      <w:r w:rsidR="003C5AB4" w:rsidRPr="00BC74EF">
        <w:rPr>
          <w:lang w:val="nl-NL"/>
        </w:rPr>
        <w:t xml:space="preserve">beperking van het recht </w:t>
      </w:r>
      <w:r w:rsidR="006D63D8" w:rsidRPr="00BC74EF">
        <w:rPr>
          <w:lang w:val="nl-NL"/>
        </w:rPr>
        <w:t>van</w:t>
      </w:r>
      <w:r w:rsidR="00FF34DA">
        <w:rPr>
          <w:lang w:val="nl-NL"/>
        </w:rPr>
        <w:t xml:space="preserve"> personen met een handicap </w:t>
      </w:r>
      <w:r w:rsidR="006D63D8" w:rsidRPr="00BC74EF">
        <w:rPr>
          <w:lang w:val="nl-NL"/>
        </w:rPr>
        <w:t>op werk</w:t>
      </w:r>
      <w:r w:rsidR="003C5AB4" w:rsidRPr="00BC74EF">
        <w:rPr>
          <w:lang w:val="nl-NL"/>
        </w:rPr>
        <w:t>.</w:t>
      </w:r>
    </w:p>
    <w:p w14:paraId="2AE7DCBE" w14:textId="7B087E79" w:rsidR="00F6202B" w:rsidRPr="00BC74EF" w:rsidRDefault="00431A14">
      <w:pPr>
        <w:pStyle w:val="SingleTxtG"/>
        <w:tabs>
          <w:tab w:val="clear" w:pos="2268"/>
        </w:tabs>
        <w:rPr>
          <w:lang w:val="nl-NL"/>
        </w:rPr>
      </w:pPr>
      <w:r w:rsidRPr="00BC74EF">
        <w:rPr>
          <w:lang w:val="nl-NL"/>
        </w:rPr>
        <w:t>5</w:t>
      </w:r>
      <w:r w:rsidR="00357CBC">
        <w:rPr>
          <w:lang w:val="nl-NL"/>
        </w:rPr>
        <w:t>8</w:t>
      </w:r>
      <w:r w:rsidR="0006414B" w:rsidRPr="00BC74EF">
        <w:rPr>
          <w:lang w:val="nl-NL"/>
        </w:rPr>
        <w:t>.</w:t>
      </w:r>
      <w:r w:rsidR="0006414B" w:rsidRPr="00BC74EF">
        <w:rPr>
          <w:lang w:val="nl-NL"/>
        </w:rPr>
        <w:tab/>
      </w:r>
      <w:r w:rsidR="003C5AB4" w:rsidRPr="00BC74EF">
        <w:rPr>
          <w:lang w:val="nl-NL"/>
        </w:rPr>
        <w:t xml:space="preserve">De verplichting tot </w:t>
      </w:r>
      <w:r w:rsidR="003C5AB4" w:rsidRPr="00BC74EF">
        <w:rPr>
          <w:iCs/>
          <w:lang w:val="nl-NL"/>
        </w:rPr>
        <w:t xml:space="preserve">bescherming </w:t>
      </w:r>
      <w:r w:rsidR="003C5AB4" w:rsidRPr="00BC74EF">
        <w:rPr>
          <w:lang w:val="nl-NL"/>
        </w:rPr>
        <w:t xml:space="preserve">vereist dat de </w:t>
      </w:r>
      <w:r w:rsidR="003001A8">
        <w:rPr>
          <w:lang w:val="nl-NL"/>
        </w:rPr>
        <w:t>Staten die Partij</w:t>
      </w:r>
      <w:r w:rsidR="00E415FB" w:rsidRPr="00BC74EF">
        <w:rPr>
          <w:lang w:val="nl-NL"/>
        </w:rPr>
        <w:t xml:space="preserve"> zijn </w:t>
      </w:r>
      <w:r w:rsidR="003C5AB4" w:rsidRPr="00BC74EF">
        <w:rPr>
          <w:lang w:val="nl-NL"/>
        </w:rPr>
        <w:t xml:space="preserve">alle passende maatregelen nemen om discriminatie op grond van handicap door </w:t>
      </w:r>
      <w:r w:rsidR="008544B9">
        <w:rPr>
          <w:lang w:val="nl-NL"/>
        </w:rPr>
        <w:t>particuliere</w:t>
      </w:r>
      <w:r w:rsidR="00985716" w:rsidRPr="00BC74EF">
        <w:rPr>
          <w:lang w:val="nl-NL"/>
        </w:rPr>
        <w:t xml:space="preserve">, </w:t>
      </w:r>
      <w:r w:rsidR="003C5AB4" w:rsidRPr="00BC74EF">
        <w:rPr>
          <w:lang w:val="nl-NL"/>
        </w:rPr>
        <w:t>niet-</w:t>
      </w:r>
      <w:proofErr w:type="spellStart"/>
      <w:r w:rsidR="003C5AB4" w:rsidRPr="00BC74EF">
        <w:rPr>
          <w:lang w:val="nl-NL"/>
        </w:rPr>
        <w:t>overheids</w:t>
      </w:r>
      <w:r w:rsidR="00DB0CBE">
        <w:rPr>
          <w:lang w:val="nl-NL"/>
        </w:rPr>
        <w:t>gebonden</w:t>
      </w:r>
      <w:proofErr w:type="spellEnd"/>
      <w:r w:rsidR="00DB0CBE">
        <w:rPr>
          <w:lang w:val="nl-NL"/>
        </w:rPr>
        <w:t xml:space="preserve"> </w:t>
      </w:r>
      <w:r w:rsidR="003C5AB4" w:rsidRPr="00BC74EF">
        <w:rPr>
          <w:lang w:val="nl-NL"/>
        </w:rPr>
        <w:t xml:space="preserve">actoren, </w:t>
      </w:r>
      <w:r w:rsidR="00985716" w:rsidRPr="00BC74EF">
        <w:rPr>
          <w:lang w:val="nl-NL"/>
        </w:rPr>
        <w:t xml:space="preserve">zoals </w:t>
      </w:r>
      <w:r w:rsidR="008544B9">
        <w:rPr>
          <w:lang w:val="nl-NL"/>
        </w:rPr>
        <w:t>private</w:t>
      </w:r>
      <w:r w:rsidR="003C5AB4" w:rsidRPr="00BC74EF">
        <w:rPr>
          <w:lang w:val="nl-NL"/>
        </w:rPr>
        <w:t xml:space="preserve"> ondernemingen, vakbonden en alle leden van de samenleving</w:t>
      </w:r>
      <w:r w:rsidR="008A32ED" w:rsidRPr="00BC74EF">
        <w:rPr>
          <w:lang w:val="nl-NL"/>
        </w:rPr>
        <w:t xml:space="preserve">, uit te </w:t>
      </w:r>
      <w:r w:rsidR="003C5AB4" w:rsidRPr="00BC74EF">
        <w:rPr>
          <w:lang w:val="nl-NL"/>
        </w:rPr>
        <w:t xml:space="preserve">bannen, </w:t>
      </w:r>
      <w:r w:rsidR="008A32ED" w:rsidRPr="00BC74EF">
        <w:rPr>
          <w:lang w:val="nl-NL"/>
        </w:rPr>
        <w:t xml:space="preserve">teneinde </w:t>
      </w:r>
      <w:r w:rsidR="007971E7">
        <w:rPr>
          <w:lang w:val="nl-NL"/>
        </w:rPr>
        <w:t>elke beperking va</w:t>
      </w:r>
      <w:r w:rsidR="003C5AB4" w:rsidRPr="00BC74EF">
        <w:rPr>
          <w:lang w:val="nl-NL"/>
        </w:rPr>
        <w:t xml:space="preserve">n </w:t>
      </w:r>
      <w:r w:rsidR="008A32ED" w:rsidRPr="00BC74EF">
        <w:rPr>
          <w:lang w:val="nl-NL"/>
        </w:rPr>
        <w:t xml:space="preserve">de </w:t>
      </w:r>
      <w:r w:rsidR="003C5AB4" w:rsidRPr="00BC74EF">
        <w:rPr>
          <w:lang w:val="nl-NL"/>
        </w:rPr>
        <w:t xml:space="preserve">waarborgen </w:t>
      </w:r>
      <w:r w:rsidR="008A32ED" w:rsidRPr="00BC74EF">
        <w:rPr>
          <w:lang w:val="nl-NL"/>
        </w:rPr>
        <w:t>van artikel 27 te voorkomen</w:t>
      </w:r>
      <w:r w:rsidR="003C5AB4" w:rsidRPr="00BC74EF">
        <w:rPr>
          <w:lang w:val="nl-NL"/>
        </w:rPr>
        <w:t>.</w:t>
      </w:r>
      <w:r w:rsidR="003C5AB4" w:rsidRPr="00BC74EF">
        <w:rPr>
          <w:rStyle w:val="Voetnootmarkering"/>
          <w:lang w:val="nl-NL"/>
        </w:rPr>
        <w:footnoteReference w:id="45"/>
      </w:r>
      <w:bookmarkStart w:id="29" w:name="_Hlk104637650"/>
      <w:bookmarkStart w:id="30" w:name="_Hlk104637869"/>
      <w:bookmarkStart w:id="31" w:name="_Hlk95473994"/>
      <w:r w:rsidR="007971E7">
        <w:rPr>
          <w:lang w:val="nl-NL"/>
        </w:rPr>
        <w:t xml:space="preserve"> </w:t>
      </w:r>
      <w:r w:rsidR="002424EA" w:rsidRPr="00BC74EF">
        <w:rPr>
          <w:lang w:val="nl-NL"/>
        </w:rPr>
        <w:t xml:space="preserve">In het bijzonder zijn de </w:t>
      </w:r>
      <w:r w:rsidR="003001A8">
        <w:rPr>
          <w:lang w:val="nl-NL"/>
        </w:rPr>
        <w:t>Staten die Partij</w:t>
      </w:r>
      <w:r w:rsidR="002424EA" w:rsidRPr="00BC74EF">
        <w:rPr>
          <w:lang w:val="nl-NL"/>
        </w:rPr>
        <w:t xml:space="preserve"> zijn verplicht personen met een handicap te beschermen </w:t>
      </w:r>
      <w:r w:rsidR="0021261E" w:rsidRPr="00BC74EF">
        <w:rPr>
          <w:lang w:val="nl-NL"/>
        </w:rPr>
        <w:t xml:space="preserve">tegen de </w:t>
      </w:r>
      <w:r w:rsidR="00403F7F" w:rsidRPr="00BC74EF">
        <w:rPr>
          <w:lang w:val="nl-NL"/>
        </w:rPr>
        <w:t xml:space="preserve">vier </w:t>
      </w:r>
      <w:r w:rsidR="0021261E" w:rsidRPr="00BC74EF">
        <w:rPr>
          <w:lang w:val="nl-NL"/>
        </w:rPr>
        <w:t xml:space="preserve">belangrijkste vormen van discriminatie </w:t>
      </w:r>
      <w:r w:rsidR="00DB0CBE">
        <w:rPr>
          <w:lang w:val="nl-NL"/>
        </w:rPr>
        <w:t>met betrekking tot</w:t>
      </w:r>
      <w:r w:rsidR="0021261E" w:rsidRPr="00BC74EF">
        <w:rPr>
          <w:lang w:val="nl-NL"/>
        </w:rPr>
        <w:t xml:space="preserve"> werk en werkgelegenheid: directe</w:t>
      </w:r>
      <w:r w:rsidR="00DB0CBE">
        <w:rPr>
          <w:lang w:val="nl-NL"/>
        </w:rPr>
        <w:t xml:space="preserve"> discriminatie</w:t>
      </w:r>
      <w:r w:rsidR="0021261E" w:rsidRPr="00BC74EF">
        <w:rPr>
          <w:lang w:val="nl-NL"/>
        </w:rPr>
        <w:t>, indirecte</w:t>
      </w:r>
      <w:r w:rsidR="00DB0CBE">
        <w:rPr>
          <w:lang w:val="nl-NL"/>
        </w:rPr>
        <w:t xml:space="preserve"> discriminatie</w:t>
      </w:r>
      <w:r w:rsidR="0021261E" w:rsidRPr="00BC74EF">
        <w:rPr>
          <w:lang w:val="nl-NL"/>
        </w:rPr>
        <w:t xml:space="preserve">, </w:t>
      </w:r>
      <w:r w:rsidR="00DB0CBE">
        <w:rPr>
          <w:lang w:val="nl-NL"/>
        </w:rPr>
        <w:t>weigering</w:t>
      </w:r>
      <w:r w:rsidR="0021261E" w:rsidRPr="00BC74EF">
        <w:rPr>
          <w:lang w:val="nl-NL"/>
        </w:rPr>
        <w:t xml:space="preserve"> van redelijke aanpassingen</w:t>
      </w:r>
      <w:r w:rsidR="00ED6C60">
        <w:rPr>
          <w:lang w:val="nl-NL"/>
        </w:rPr>
        <w:t xml:space="preserve">, </w:t>
      </w:r>
      <w:r w:rsidR="0021261E" w:rsidRPr="00BC74EF">
        <w:rPr>
          <w:lang w:val="nl-NL"/>
        </w:rPr>
        <w:t>intimidati</w:t>
      </w:r>
      <w:r w:rsidR="00DB0CBE">
        <w:rPr>
          <w:lang w:val="nl-NL"/>
        </w:rPr>
        <w:t xml:space="preserve">e </w:t>
      </w:r>
      <w:r w:rsidR="0021261E" w:rsidRPr="00E562AD">
        <w:rPr>
          <w:lang w:val="nl-NL"/>
        </w:rPr>
        <w:t>e</w:t>
      </w:r>
      <w:r w:rsidR="00DB0CBE" w:rsidRPr="00E562AD">
        <w:rPr>
          <w:lang w:val="nl-NL"/>
        </w:rPr>
        <w:t>n discriminatie</w:t>
      </w:r>
      <w:r w:rsidR="00E562AD">
        <w:rPr>
          <w:lang w:val="nl-NL"/>
        </w:rPr>
        <w:t xml:space="preserve"> door associatie</w:t>
      </w:r>
      <w:bookmarkEnd w:id="29"/>
      <w:r w:rsidR="00E562AD">
        <w:rPr>
          <w:lang w:val="nl-NL"/>
        </w:rPr>
        <w:t xml:space="preserve">. </w:t>
      </w:r>
      <w:r w:rsidR="0021261E" w:rsidRPr="00BC74EF">
        <w:rPr>
          <w:lang w:val="nl-NL"/>
        </w:rPr>
        <w:t xml:space="preserve">Deze vormen van </w:t>
      </w:r>
      <w:r w:rsidR="0021261E" w:rsidRPr="00BC74EF">
        <w:rPr>
          <w:lang w:val="nl-NL"/>
        </w:rPr>
        <w:lastRenderedPageBreak/>
        <w:t xml:space="preserve">discriminatie kunnen afzonderlijk of tegelijkertijd voorkomen. </w:t>
      </w:r>
      <w:bookmarkEnd w:id="30"/>
      <w:r w:rsidR="003C5AB4" w:rsidRPr="00BC74EF">
        <w:rPr>
          <w:lang w:val="nl-NL"/>
        </w:rPr>
        <w:t xml:space="preserve">Het Comité heeft in zijn jurisprudentie </w:t>
      </w:r>
      <w:r w:rsidR="0021261E" w:rsidRPr="00BC74EF">
        <w:rPr>
          <w:lang w:val="nl-NL"/>
        </w:rPr>
        <w:t xml:space="preserve">ook </w:t>
      </w:r>
      <w:r w:rsidR="003C5AB4" w:rsidRPr="00BC74EF">
        <w:rPr>
          <w:lang w:val="nl-NL"/>
        </w:rPr>
        <w:t>maatregelen aanbevolen om meervoudige en intersectionele discriminatie aan te pakken</w:t>
      </w:r>
      <w:r w:rsidR="00520D5C" w:rsidRPr="00BC74EF">
        <w:rPr>
          <w:lang w:val="nl-NL"/>
        </w:rPr>
        <w:t xml:space="preserve">, waaronder </w:t>
      </w:r>
      <w:r w:rsidR="00DB0CBE">
        <w:rPr>
          <w:lang w:val="nl-NL"/>
        </w:rPr>
        <w:t>w</w:t>
      </w:r>
      <w:r w:rsidR="003C5AB4" w:rsidRPr="00BC74EF">
        <w:rPr>
          <w:lang w:val="nl-NL"/>
        </w:rPr>
        <w:t>etgeving, beleid</w:t>
      </w:r>
      <w:r w:rsidR="00DB0CBE">
        <w:rPr>
          <w:lang w:val="nl-NL"/>
        </w:rPr>
        <w:t>smaatregelen</w:t>
      </w:r>
      <w:r w:rsidR="003C5AB4" w:rsidRPr="00BC74EF">
        <w:rPr>
          <w:lang w:val="nl-NL"/>
        </w:rPr>
        <w:t xml:space="preserve"> en programma's die meervoudige </w:t>
      </w:r>
      <w:r w:rsidR="00C42E80" w:rsidRPr="00BC74EF">
        <w:rPr>
          <w:lang w:val="nl-NL"/>
        </w:rPr>
        <w:t xml:space="preserve">en intersectionele </w:t>
      </w:r>
      <w:r w:rsidR="003C5AB4" w:rsidRPr="00BC74EF">
        <w:rPr>
          <w:lang w:val="nl-NL"/>
        </w:rPr>
        <w:t>discriminatie expliciet erkennen</w:t>
      </w:r>
      <w:r w:rsidR="004D57A1" w:rsidRPr="00BC74EF">
        <w:rPr>
          <w:lang w:val="nl-NL"/>
        </w:rPr>
        <w:t>,</w:t>
      </w:r>
      <w:r w:rsidR="004D57A1" w:rsidRPr="00BC74EF">
        <w:rPr>
          <w:rStyle w:val="Voetnootmarkering"/>
          <w:lang w:val="nl-NL"/>
        </w:rPr>
        <w:footnoteReference w:id="46"/>
      </w:r>
      <w:r w:rsidR="003C5AB4" w:rsidRPr="00BC74EF">
        <w:rPr>
          <w:lang w:val="nl-NL"/>
        </w:rPr>
        <w:t xml:space="preserve"> </w:t>
      </w:r>
      <w:r w:rsidR="00DB0CBE">
        <w:rPr>
          <w:lang w:val="nl-NL"/>
        </w:rPr>
        <w:t>zo</w:t>
      </w:r>
      <w:r w:rsidR="00413818" w:rsidRPr="00BC74EF">
        <w:rPr>
          <w:lang w:val="nl-NL"/>
        </w:rPr>
        <w:t xml:space="preserve">dat </w:t>
      </w:r>
      <w:r w:rsidR="003C5AB4" w:rsidRPr="00BC74EF">
        <w:rPr>
          <w:lang w:val="nl-NL"/>
        </w:rPr>
        <w:t xml:space="preserve">klachten over </w:t>
      </w:r>
      <w:r w:rsidR="00C42E80" w:rsidRPr="00BC74EF">
        <w:rPr>
          <w:lang w:val="nl-NL"/>
        </w:rPr>
        <w:t xml:space="preserve">dergelijke </w:t>
      </w:r>
      <w:r w:rsidR="003C5AB4" w:rsidRPr="00BC74EF">
        <w:rPr>
          <w:lang w:val="nl-NL"/>
        </w:rPr>
        <w:t xml:space="preserve">discriminatie </w:t>
      </w:r>
      <w:r w:rsidR="00DB0CBE">
        <w:rPr>
          <w:lang w:val="nl-NL"/>
        </w:rPr>
        <w:t xml:space="preserve">kunnen worden onderzocht </w:t>
      </w:r>
      <w:r w:rsidR="00083354" w:rsidRPr="00BC74EF">
        <w:rPr>
          <w:lang w:val="nl-NL"/>
        </w:rPr>
        <w:t xml:space="preserve">om </w:t>
      </w:r>
      <w:r w:rsidR="003C5AB4" w:rsidRPr="00BC74EF">
        <w:rPr>
          <w:lang w:val="nl-NL"/>
        </w:rPr>
        <w:t xml:space="preserve">zowel de </w:t>
      </w:r>
      <w:r w:rsidR="00DB0CBE">
        <w:rPr>
          <w:lang w:val="nl-NL"/>
        </w:rPr>
        <w:t>verantwoordelijkheid</w:t>
      </w:r>
      <w:r w:rsidR="003C5AB4" w:rsidRPr="00BC74EF">
        <w:rPr>
          <w:lang w:val="nl-NL"/>
        </w:rPr>
        <w:t xml:space="preserve"> als de rechtsmiddelen te </w:t>
      </w:r>
      <w:r w:rsidR="00083354" w:rsidRPr="00BC74EF">
        <w:rPr>
          <w:lang w:val="nl-NL"/>
        </w:rPr>
        <w:t>bepalen</w:t>
      </w:r>
      <w:r w:rsidR="004D57A1" w:rsidRPr="00BC74EF">
        <w:rPr>
          <w:lang w:val="nl-NL"/>
        </w:rPr>
        <w:t xml:space="preserve">; </w:t>
      </w:r>
      <w:r w:rsidR="003C5AB4" w:rsidRPr="00BC74EF">
        <w:rPr>
          <w:lang w:val="nl-NL"/>
        </w:rPr>
        <w:t>vaststelling van</w:t>
      </w:r>
      <w:bookmarkEnd w:id="31"/>
      <w:r w:rsidR="003C5AB4" w:rsidRPr="00BC74EF">
        <w:rPr>
          <w:lang w:val="nl-NL"/>
        </w:rPr>
        <w:t xml:space="preserve"> een kader voor gegevensverzameling dat relevant is voor de bestrijding van intersectionele discriminatie waarmee vrouwen en meisjes </w:t>
      </w:r>
      <w:r w:rsidR="00DB0CBE">
        <w:rPr>
          <w:lang w:val="nl-NL"/>
        </w:rPr>
        <w:t xml:space="preserve">met een handicap </w:t>
      </w:r>
      <w:r w:rsidR="003C5AB4" w:rsidRPr="00BC74EF">
        <w:rPr>
          <w:lang w:val="nl-NL"/>
        </w:rPr>
        <w:t>worden geconfronteerd</w:t>
      </w:r>
      <w:r w:rsidR="004D57A1" w:rsidRPr="00BC74EF">
        <w:rPr>
          <w:lang w:val="nl-NL"/>
        </w:rPr>
        <w:t>;</w:t>
      </w:r>
      <w:r w:rsidR="003C5AB4" w:rsidRPr="00BC74EF">
        <w:rPr>
          <w:rStyle w:val="Voetnootmarkering"/>
          <w:lang w:val="nl-NL"/>
        </w:rPr>
        <w:footnoteReference w:id="47"/>
      </w:r>
      <w:r w:rsidR="003C5AB4" w:rsidRPr="00BC74EF">
        <w:rPr>
          <w:lang w:val="nl-NL"/>
        </w:rPr>
        <w:t xml:space="preserve"> </w:t>
      </w:r>
      <w:r w:rsidR="00DB0CBE">
        <w:rPr>
          <w:lang w:val="nl-NL"/>
        </w:rPr>
        <w:t>het toestaan van</w:t>
      </w:r>
      <w:r w:rsidR="003C5AB4" w:rsidRPr="00BC74EF">
        <w:rPr>
          <w:lang w:val="nl-NL"/>
        </w:rPr>
        <w:t xml:space="preserve"> klachten </w:t>
      </w:r>
      <w:r w:rsidR="00AB7BDC" w:rsidRPr="00BC74EF">
        <w:rPr>
          <w:lang w:val="nl-NL"/>
        </w:rPr>
        <w:t xml:space="preserve">over discriminatie </w:t>
      </w:r>
      <w:r w:rsidR="003C5AB4" w:rsidRPr="00BC74EF">
        <w:rPr>
          <w:lang w:val="nl-NL"/>
        </w:rPr>
        <w:t>op meer dan één grond</w:t>
      </w:r>
      <w:r w:rsidR="00DB0CBE">
        <w:rPr>
          <w:lang w:val="nl-NL"/>
        </w:rPr>
        <w:t>; hogere schadevergoedingen</w:t>
      </w:r>
      <w:r w:rsidR="003C5AB4" w:rsidRPr="00BC74EF">
        <w:rPr>
          <w:lang w:val="nl-NL"/>
        </w:rPr>
        <w:t xml:space="preserve"> voor slachtoffers en </w:t>
      </w:r>
      <w:r w:rsidR="00DB0CBE">
        <w:rPr>
          <w:lang w:val="nl-NL"/>
        </w:rPr>
        <w:t>zwaardere sancties</w:t>
      </w:r>
      <w:r w:rsidR="003C5AB4" w:rsidRPr="00BC74EF">
        <w:rPr>
          <w:lang w:val="nl-NL"/>
        </w:rPr>
        <w:t xml:space="preserve"> voor daders</w:t>
      </w:r>
      <w:r w:rsidR="003C5AB4" w:rsidRPr="00BC74EF">
        <w:rPr>
          <w:rStyle w:val="Voetnootmarkering"/>
          <w:lang w:val="nl-NL"/>
        </w:rPr>
        <w:footnoteReference w:id="48"/>
      </w:r>
      <w:r w:rsidR="00DB0CBE">
        <w:rPr>
          <w:lang w:val="nl-NL"/>
        </w:rPr>
        <w:t>;</w:t>
      </w:r>
      <w:r w:rsidR="003C5AB4" w:rsidRPr="00BC74EF">
        <w:rPr>
          <w:lang w:val="nl-NL"/>
        </w:rPr>
        <w:t xml:space="preserve"> </w:t>
      </w:r>
      <w:r w:rsidR="00DB0CBE">
        <w:rPr>
          <w:lang w:val="nl-NL"/>
        </w:rPr>
        <w:t>betere</w:t>
      </w:r>
      <w:r w:rsidR="003C5AB4" w:rsidRPr="00BC74EF">
        <w:rPr>
          <w:lang w:val="nl-NL"/>
        </w:rPr>
        <w:t xml:space="preserve"> </w:t>
      </w:r>
      <w:proofErr w:type="spellStart"/>
      <w:r w:rsidR="003C5AB4" w:rsidRPr="00BC74EF">
        <w:rPr>
          <w:lang w:val="nl-NL"/>
        </w:rPr>
        <w:t>anti</w:t>
      </w:r>
      <w:r w:rsidR="00DB0CBE">
        <w:rPr>
          <w:lang w:val="nl-NL"/>
        </w:rPr>
        <w:t>-</w:t>
      </w:r>
      <w:r w:rsidR="003C5AB4" w:rsidRPr="00BC74EF">
        <w:rPr>
          <w:lang w:val="nl-NL"/>
        </w:rPr>
        <w:t>discriminatiewetten</w:t>
      </w:r>
      <w:proofErr w:type="spellEnd"/>
      <w:r w:rsidR="003C5AB4" w:rsidRPr="00BC74EF">
        <w:rPr>
          <w:lang w:val="nl-NL"/>
        </w:rPr>
        <w:t xml:space="preserve"> om </w:t>
      </w:r>
      <w:proofErr w:type="spellStart"/>
      <w:r w:rsidR="003C5AB4" w:rsidRPr="00BC74EF">
        <w:rPr>
          <w:lang w:val="nl-NL"/>
        </w:rPr>
        <w:t>intersectionele</w:t>
      </w:r>
      <w:proofErr w:type="spellEnd"/>
      <w:r w:rsidR="003C5AB4" w:rsidRPr="00BC74EF">
        <w:rPr>
          <w:lang w:val="nl-NL"/>
        </w:rPr>
        <w:t xml:space="preserve"> discriminatie aan te pakken</w:t>
      </w:r>
      <w:r w:rsidR="004D57A1" w:rsidRPr="00BC74EF">
        <w:rPr>
          <w:lang w:val="nl-NL"/>
        </w:rPr>
        <w:t>;</w:t>
      </w:r>
      <w:r w:rsidR="003C5AB4" w:rsidRPr="00BC74EF">
        <w:rPr>
          <w:rStyle w:val="Voetnootmarkering"/>
          <w:lang w:val="nl-NL"/>
        </w:rPr>
        <w:footnoteReference w:id="49"/>
      </w:r>
      <w:r w:rsidR="003C5AB4" w:rsidRPr="00BC74EF">
        <w:rPr>
          <w:lang w:val="nl-NL"/>
        </w:rPr>
        <w:t xml:space="preserve"> het onderzoeken van de geschiktheid van de structuren die </w:t>
      </w:r>
      <w:r w:rsidR="00DB0CBE">
        <w:rPr>
          <w:lang w:val="nl-NL"/>
        </w:rPr>
        <w:t xml:space="preserve">momenteel </w:t>
      </w:r>
      <w:r w:rsidR="003C5AB4" w:rsidRPr="00BC74EF">
        <w:rPr>
          <w:lang w:val="nl-NL"/>
        </w:rPr>
        <w:t xml:space="preserve">worden gebruikt om intersectionele discriminatie aan te pakken en </w:t>
      </w:r>
      <w:r w:rsidR="00DB0CBE">
        <w:rPr>
          <w:lang w:val="nl-NL"/>
        </w:rPr>
        <w:t>de invoering</w:t>
      </w:r>
      <w:r w:rsidR="003C5AB4" w:rsidRPr="00BC74EF">
        <w:rPr>
          <w:lang w:val="nl-NL"/>
        </w:rPr>
        <w:t xml:space="preserve"> van </w:t>
      </w:r>
      <w:r w:rsidR="00DB0CBE">
        <w:rPr>
          <w:lang w:val="nl-NL"/>
        </w:rPr>
        <w:t>doeltreffende</w:t>
      </w:r>
      <w:r w:rsidR="003C5AB4" w:rsidRPr="00BC74EF">
        <w:rPr>
          <w:lang w:val="nl-NL"/>
        </w:rPr>
        <w:t xml:space="preserve"> en specifieke maatregelen om intersectionele vormen van discriminatie van vrouwen en meisjes </w:t>
      </w:r>
      <w:r w:rsidR="00DB0CBE">
        <w:rPr>
          <w:lang w:val="nl-NL"/>
        </w:rPr>
        <w:t>tegen te gaan</w:t>
      </w:r>
      <w:r w:rsidR="004D57A1" w:rsidRPr="00BC74EF">
        <w:rPr>
          <w:lang w:val="nl-NL"/>
        </w:rPr>
        <w:t>;</w:t>
      </w:r>
      <w:r w:rsidR="003C5AB4" w:rsidRPr="00BC74EF">
        <w:rPr>
          <w:rStyle w:val="Voetnootmarkering"/>
          <w:lang w:val="nl-NL"/>
        </w:rPr>
        <w:footnoteReference w:id="50"/>
      </w:r>
      <w:r w:rsidR="003C5AB4" w:rsidRPr="00BC74EF">
        <w:rPr>
          <w:lang w:val="nl-NL"/>
        </w:rPr>
        <w:t xml:space="preserve"> en het ontwikkelen van </w:t>
      </w:r>
      <w:r w:rsidR="00122D86" w:rsidRPr="00BC74EF">
        <w:rPr>
          <w:lang w:val="nl-NL"/>
        </w:rPr>
        <w:t xml:space="preserve">kaders voor inclusieve, </w:t>
      </w:r>
      <w:r w:rsidR="003C5AB4" w:rsidRPr="00BC74EF">
        <w:rPr>
          <w:lang w:val="nl-NL"/>
        </w:rPr>
        <w:t xml:space="preserve">omvattende en transparante participatie van organisaties </w:t>
      </w:r>
      <w:r w:rsidR="00136C4D" w:rsidRPr="00BC74EF">
        <w:rPr>
          <w:lang w:val="nl-NL"/>
        </w:rPr>
        <w:t xml:space="preserve">van </w:t>
      </w:r>
      <w:r w:rsidR="003C5AB4" w:rsidRPr="00BC74EF">
        <w:rPr>
          <w:lang w:val="nl-NL"/>
        </w:rPr>
        <w:t>personen met een handicap, met inbegrip van degenen die intersectionele discriminatie ondervinden.</w:t>
      </w:r>
      <w:r w:rsidR="003C5AB4" w:rsidRPr="00BC74EF">
        <w:rPr>
          <w:rStyle w:val="Voetnootmarkering"/>
          <w:lang w:val="nl-NL"/>
        </w:rPr>
        <w:footnoteReference w:id="51"/>
      </w:r>
    </w:p>
    <w:p w14:paraId="1C0C1C9F" w14:textId="6DF536FE" w:rsidR="00F6202B" w:rsidRPr="00BC74EF" w:rsidRDefault="00431A14">
      <w:pPr>
        <w:pStyle w:val="SingleTxtG"/>
        <w:tabs>
          <w:tab w:val="clear" w:pos="2268"/>
        </w:tabs>
        <w:rPr>
          <w:lang w:val="nl-NL"/>
        </w:rPr>
      </w:pPr>
      <w:r w:rsidRPr="00BC74EF">
        <w:rPr>
          <w:lang w:val="nl-NL"/>
        </w:rPr>
        <w:t>5</w:t>
      </w:r>
      <w:r w:rsidR="00357CBC">
        <w:rPr>
          <w:lang w:val="nl-NL"/>
        </w:rPr>
        <w:t>9</w:t>
      </w:r>
      <w:r w:rsidR="0006414B" w:rsidRPr="00BC74EF">
        <w:rPr>
          <w:lang w:val="nl-NL"/>
        </w:rPr>
        <w:t>.</w:t>
      </w:r>
      <w:r w:rsidR="0006414B" w:rsidRPr="00BC74EF">
        <w:rPr>
          <w:lang w:val="nl-NL"/>
        </w:rPr>
        <w:tab/>
      </w:r>
      <w:r w:rsidR="00C33625" w:rsidRPr="00BC74EF">
        <w:rPr>
          <w:lang w:val="nl-NL"/>
        </w:rPr>
        <w:t xml:space="preserve">Ten slotte </w:t>
      </w:r>
      <w:r w:rsidR="00FE38E9">
        <w:rPr>
          <w:lang w:val="nl-NL"/>
        </w:rPr>
        <w:t>vereist</w:t>
      </w:r>
      <w:r w:rsidR="00C33625" w:rsidRPr="00BC74EF">
        <w:rPr>
          <w:lang w:val="nl-NL"/>
        </w:rPr>
        <w:t xml:space="preserve"> </w:t>
      </w:r>
      <w:r w:rsidR="003C5AB4" w:rsidRPr="00BC74EF">
        <w:rPr>
          <w:lang w:val="nl-NL"/>
        </w:rPr>
        <w:t xml:space="preserve">de verplichting </w:t>
      </w:r>
      <w:r w:rsidR="00E562AD">
        <w:rPr>
          <w:lang w:val="nl-NL"/>
        </w:rPr>
        <w:t>om</w:t>
      </w:r>
      <w:r w:rsidR="00FE38E9">
        <w:rPr>
          <w:lang w:val="nl-NL"/>
        </w:rPr>
        <w:t xml:space="preserve"> het recht op werk</w:t>
      </w:r>
      <w:r w:rsidR="003C5AB4" w:rsidRPr="00BC74EF">
        <w:rPr>
          <w:iCs/>
          <w:lang w:val="nl-NL"/>
        </w:rPr>
        <w:t xml:space="preserve"> </w:t>
      </w:r>
      <w:r w:rsidR="00E562AD">
        <w:rPr>
          <w:iCs/>
          <w:lang w:val="nl-NL"/>
        </w:rPr>
        <w:t xml:space="preserve">te waarborgen – </w:t>
      </w:r>
      <w:r w:rsidR="003C5AB4" w:rsidRPr="00BC74EF">
        <w:rPr>
          <w:iCs/>
          <w:lang w:val="nl-NL"/>
        </w:rPr>
        <w:t xml:space="preserve">die </w:t>
      </w:r>
      <w:r w:rsidR="00C04B07" w:rsidRPr="00BC74EF">
        <w:rPr>
          <w:lang w:val="nl-NL"/>
        </w:rPr>
        <w:t xml:space="preserve">de </w:t>
      </w:r>
      <w:r w:rsidR="00566C23" w:rsidRPr="00BC74EF">
        <w:rPr>
          <w:lang w:val="nl-NL"/>
        </w:rPr>
        <w:t>verplichting</w:t>
      </w:r>
      <w:r w:rsidR="00FE38E9">
        <w:rPr>
          <w:lang w:val="nl-NL"/>
        </w:rPr>
        <w:t xml:space="preserve"> omvat om dat recht te</w:t>
      </w:r>
      <w:r w:rsidR="00566C23" w:rsidRPr="00BC74EF">
        <w:rPr>
          <w:lang w:val="nl-NL"/>
        </w:rPr>
        <w:t xml:space="preserve"> </w:t>
      </w:r>
      <w:r w:rsidR="008A6F44">
        <w:rPr>
          <w:lang w:val="nl-NL"/>
        </w:rPr>
        <w:t>vergemakkelijken</w:t>
      </w:r>
      <w:r w:rsidR="00566C23" w:rsidRPr="00BC74EF">
        <w:rPr>
          <w:lang w:val="nl-NL"/>
        </w:rPr>
        <w:t xml:space="preserve">, </w:t>
      </w:r>
      <w:r w:rsidR="00FE38E9">
        <w:rPr>
          <w:lang w:val="nl-NL"/>
        </w:rPr>
        <w:t xml:space="preserve">te </w:t>
      </w:r>
      <w:r w:rsidR="00566C23" w:rsidRPr="00BC74EF">
        <w:rPr>
          <w:lang w:val="nl-NL"/>
        </w:rPr>
        <w:t xml:space="preserve">verstrekken en </w:t>
      </w:r>
      <w:r w:rsidR="00FE38E9">
        <w:rPr>
          <w:lang w:val="nl-NL"/>
        </w:rPr>
        <w:t xml:space="preserve">te </w:t>
      </w:r>
      <w:r w:rsidR="006A0BAE" w:rsidRPr="00BC74EF">
        <w:rPr>
          <w:lang w:val="nl-NL"/>
        </w:rPr>
        <w:t>bevordere</w:t>
      </w:r>
      <w:r w:rsidR="00FE38E9">
        <w:rPr>
          <w:lang w:val="nl-NL"/>
        </w:rPr>
        <w:t>n</w:t>
      </w:r>
      <w:r w:rsidR="00566C23" w:rsidRPr="00BC74EF">
        <w:rPr>
          <w:lang w:val="nl-NL"/>
        </w:rPr>
        <w:t xml:space="preserve"> </w:t>
      </w:r>
      <w:r w:rsidR="00FE38E9">
        <w:rPr>
          <w:lang w:val="nl-NL"/>
        </w:rPr>
        <w:t>–</w:t>
      </w:r>
      <w:r w:rsidR="00566C23" w:rsidRPr="00BC74EF">
        <w:rPr>
          <w:lang w:val="nl-NL"/>
        </w:rPr>
        <w:t xml:space="preserve"> </w:t>
      </w:r>
      <w:r w:rsidR="00FE38E9">
        <w:rPr>
          <w:lang w:val="nl-NL"/>
        </w:rPr>
        <w:t xml:space="preserve">dat </w:t>
      </w:r>
      <w:r w:rsidR="003C5AB4" w:rsidRPr="00BC74EF">
        <w:rPr>
          <w:lang w:val="nl-NL"/>
        </w:rPr>
        <w:t xml:space="preserve">de </w:t>
      </w:r>
      <w:r w:rsidR="00FE38E9">
        <w:rPr>
          <w:lang w:val="nl-NL"/>
        </w:rPr>
        <w:t>S</w:t>
      </w:r>
      <w:r w:rsidR="003C5AB4" w:rsidRPr="00BC74EF">
        <w:rPr>
          <w:lang w:val="nl-NL"/>
        </w:rPr>
        <w:t xml:space="preserve">taten </w:t>
      </w:r>
      <w:r w:rsidR="00FE38E9">
        <w:rPr>
          <w:lang w:val="nl-NL"/>
        </w:rPr>
        <w:t xml:space="preserve">die Partij zijn </w:t>
      </w:r>
      <w:r w:rsidR="003C5AB4" w:rsidRPr="00BC74EF">
        <w:rPr>
          <w:lang w:val="nl-NL"/>
        </w:rPr>
        <w:t xml:space="preserve">passende wetgevende, administratieve, budgettaire, juridische, promotionele en andere maatregelen nemen om </w:t>
      </w:r>
      <w:r w:rsidR="003C5AB4" w:rsidRPr="00BC74EF">
        <w:rPr>
          <w:iCs/>
          <w:lang w:val="nl-NL"/>
        </w:rPr>
        <w:t xml:space="preserve">een open, </w:t>
      </w:r>
      <w:r w:rsidR="003C5AB4" w:rsidRPr="00BC74EF">
        <w:rPr>
          <w:lang w:val="nl-NL"/>
        </w:rPr>
        <w:t xml:space="preserve">inclusieve </w:t>
      </w:r>
      <w:r w:rsidR="003C5AB4" w:rsidRPr="00BC74EF">
        <w:rPr>
          <w:iCs/>
          <w:lang w:val="nl-NL"/>
        </w:rPr>
        <w:t>en toegankelijke werkomgeving te waarborgen.</w:t>
      </w:r>
    </w:p>
    <w:p w14:paraId="17B2D110" w14:textId="5C7FA243" w:rsidR="00F6202B" w:rsidRPr="00BC74EF" w:rsidRDefault="00357CBC" w:rsidP="005E38AD">
      <w:pPr>
        <w:pStyle w:val="SingleTxtG"/>
        <w:tabs>
          <w:tab w:val="clear" w:pos="2268"/>
        </w:tabs>
        <w:rPr>
          <w:lang w:val="nl-NL"/>
        </w:rPr>
      </w:pPr>
      <w:r>
        <w:rPr>
          <w:lang w:val="nl-NL"/>
        </w:rPr>
        <w:t>60</w:t>
      </w:r>
      <w:r w:rsidR="0006414B" w:rsidRPr="00BC74EF">
        <w:rPr>
          <w:lang w:val="nl-NL"/>
        </w:rPr>
        <w:t>.</w:t>
      </w:r>
      <w:r w:rsidR="0006414B" w:rsidRPr="00BC74EF">
        <w:rPr>
          <w:lang w:val="nl-NL"/>
        </w:rPr>
        <w:tab/>
      </w:r>
      <w:r w:rsidR="003C5AB4" w:rsidRPr="00BC74EF">
        <w:rPr>
          <w:lang w:val="nl-NL"/>
        </w:rPr>
        <w:t xml:space="preserve">Teneinde </w:t>
      </w:r>
      <w:r w:rsidR="00D81E9B" w:rsidRPr="00BC74EF">
        <w:rPr>
          <w:lang w:val="nl-NL"/>
        </w:rPr>
        <w:t xml:space="preserve">te voldoen aan de verplichting </w:t>
      </w:r>
      <w:r w:rsidR="003C5AB4" w:rsidRPr="00BC74EF">
        <w:rPr>
          <w:lang w:val="nl-NL"/>
        </w:rPr>
        <w:t xml:space="preserve">het recht </w:t>
      </w:r>
      <w:r w:rsidR="00C04B07" w:rsidRPr="00BC74EF">
        <w:rPr>
          <w:lang w:val="nl-NL"/>
        </w:rPr>
        <w:t xml:space="preserve">van personen met een handicap </w:t>
      </w:r>
      <w:r w:rsidR="003C5AB4" w:rsidRPr="00BC74EF">
        <w:rPr>
          <w:lang w:val="nl-NL"/>
        </w:rPr>
        <w:t xml:space="preserve">op werk en werkgelegenheid te vergemakkelijken, </w:t>
      </w:r>
      <w:r w:rsidR="00764761">
        <w:rPr>
          <w:lang w:val="nl-NL"/>
        </w:rPr>
        <w:t>moeten</w:t>
      </w:r>
      <w:r w:rsidR="003C5AB4" w:rsidRPr="00BC74EF">
        <w:rPr>
          <w:lang w:val="nl-NL"/>
        </w:rPr>
        <w:t xml:space="preserve"> de </w:t>
      </w:r>
      <w:r w:rsidR="003001A8">
        <w:rPr>
          <w:lang w:val="nl-NL"/>
        </w:rPr>
        <w:t>Staten die Partij</w:t>
      </w:r>
      <w:r w:rsidR="00E415FB" w:rsidRPr="00BC74EF">
        <w:rPr>
          <w:lang w:val="nl-NL"/>
        </w:rPr>
        <w:t xml:space="preserve"> zijn </w:t>
      </w:r>
      <w:r w:rsidR="003C5AB4" w:rsidRPr="00BC74EF">
        <w:rPr>
          <w:lang w:val="nl-NL"/>
        </w:rPr>
        <w:t>positieve maatregelen nemen om</w:t>
      </w:r>
      <w:r w:rsidR="00764761">
        <w:rPr>
          <w:lang w:val="nl-NL"/>
        </w:rPr>
        <w:t xml:space="preserve"> ervoor te zorgen dat</w:t>
      </w:r>
      <w:r w:rsidR="003C5AB4" w:rsidRPr="00BC74EF">
        <w:rPr>
          <w:lang w:val="nl-NL"/>
        </w:rPr>
        <w:t xml:space="preserve"> personen met een handicap technisch en beroepsonderwijs </w:t>
      </w:r>
      <w:r w:rsidR="00764761">
        <w:rPr>
          <w:lang w:val="nl-NL"/>
        </w:rPr>
        <w:t>kunnen volgen</w:t>
      </w:r>
      <w:r w:rsidR="00E35C2C" w:rsidRPr="00BC74EF">
        <w:rPr>
          <w:lang w:val="nl-NL"/>
        </w:rPr>
        <w:t xml:space="preserve">, </w:t>
      </w:r>
      <w:r w:rsidR="00764761">
        <w:rPr>
          <w:lang w:val="nl-NL"/>
        </w:rPr>
        <w:t xml:space="preserve">hen hierbij de gewenste ondersteuning bieden </w:t>
      </w:r>
      <w:r w:rsidR="003C5AB4" w:rsidRPr="00BC74EF">
        <w:rPr>
          <w:lang w:val="nl-NL"/>
        </w:rPr>
        <w:t xml:space="preserve">en plannen voor technisch en beroepsonderwijs </w:t>
      </w:r>
      <w:r w:rsidR="00764761">
        <w:rPr>
          <w:lang w:val="nl-NL"/>
        </w:rPr>
        <w:t>uit</w:t>
      </w:r>
      <w:r w:rsidR="003C5AB4" w:rsidRPr="00BC74EF">
        <w:rPr>
          <w:lang w:val="nl-NL"/>
        </w:rPr>
        <w:t xml:space="preserve">voeren </w:t>
      </w:r>
      <w:r w:rsidR="008A6F44">
        <w:rPr>
          <w:lang w:val="nl-NL"/>
        </w:rPr>
        <w:t>met het oog op een vlottere toegang tot de arbeidsmarkt</w:t>
      </w:r>
      <w:r w:rsidR="003C5AB4" w:rsidRPr="00BC74EF">
        <w:rPr>
          <w:lang w:val="nl-NL"/>
        </w:rPr>
        <w:t xml:space="preserve">. De </w:t>
      </w:r>
      <w:r w:rsidR="003001A8">
        <w:rPr>
          <w:lang w:val="nl-NL"/>
        </w:rPr>
        <w:t>Staten die Partij</w:t>
      </w:r>
      <w:r w:rsidR="00E415FB" w:rsidRPr="00BC74EF">
        <w:rPr>
          <w:lang w:val="nl-NL"/>
        </w:rPr>
        <w:t xml:space="preserve"> zijn, zijn </w:t>
      </w:r>
      <w:r w:rsidR="003C5AB4" w:rsidRPr="00BC74EF">
        <w:rPr>
          <w:lang w:val="nl-NL"/>
        </w:rPr>
        <w:t xml:space="preserve">tevens verplicht </w:t>
      </w:r>
      <w:r w:rsidR="005E38AD">
        <w:rPr>
          <w:lang w:val="nl-NL"/>
        </w:rPr>
        <w:t>onderzoek te voeren naar nieuwe technologieën</w:t>
      </w:r>
      <w:r w:rsidR="0055032B" w:rsidRPr="00BC74EF">
        <w:rPr>
          <w:lang w:val="nl-NL"/>
        </w:rPr>
        <w:t xml:space="preserve">, met inbegrip van </w:t>
      </w:r>
      <w:r w:rsidR="003C5AB4" w:rsidRPr="00BC74EF">
        <w:rPr>
          <w:lang w:val="nl-NL"/>
        </w:rPr>
        <w:t xml:space="preserve">informatie- en </w:t>
      </w:r>
      <w:r w:rsidR="00E35C2C" w:rsidRPr="00BC74EF">
        <w:rPr>
          <w:lang w:val="nl-NL"/>
        </w:rPr>
        <w:t>communicatietechnologie</w:t>
      </w:r>
      <w:r w:rsidR="003C5AB4" w:rsidRPr="00BC74EF">
        <w:rPr>
          <w:lang w:val="nl-NL"/>
        </w:rPr>
        <w:t>, mobiliteitshulpmiddelen, apparaten en ondersteunende technologieën</w:t>
      </w:r>
      <w:r w:rsidR="0055032B" w:rsidRPr="00BC74EF">
        <w:rPr>
          <w:lang w:val="nl-NL"/>
        </w:rPr>
        <w:t xml:space="preserve">, </w:t>
      </w:r>
      <w:r w:rsidR="005E38AD">
        <w:rPr>
          <w:lang w:val="nl-NL"/>
        </w:rPr>
        <w:t xml:space="preserve">deze </w:t>
      </w:r>
      <w:r w:rsidR="00764761">
        <w:rPr>
          <w:lang w:val="nl-NL"/>
        </w:rPr>
        <w:t xml:space="preserve">te </w:t>
      </w:r>
      <w:r w:rsidR="005E38AD">
        <w:rPr>
          <w:lang w:val="nl-NL"/>
        </w:rPr>
        <w:t xml:space="preserve">ontwikkelen en daarbij </w:t>
      </w:r>
      <w:r w:rsidR="003C5AB4" w:rsidRPr="00BC74EF">
        <w:rPr>
          <w:lang w:val="nl-NL"/>
        </w:rPr>
        <w:t>prioriteit te geven aan betaalbare technologieën.</w:t>
      </w:r>
      <w:r w:rsidR="003C5AB4" w:rsidRPr="00BC74EF">
        <w:rPr>
          <w:rStyle w:val="Voetnootmarkering"/>
          <w:lang w:val="nl-NL"/>
        </w:rPr>
        <w:footnoteReference w:id="52"/>
      </w:r>
    </w:p>
    <w:p w14:paraId="420B095C" w14:textId="15B5A6B7" w:rsidR="00F6202B" w:rsidRPr="00BC74EF" w:rsidRDefault="00431A14">
      <w:pPr>
        <w:pStyle w:val="SingleTxtG"/>
        <w:tabs>
          <w:tab w:val="clear" w:pos="2268"/>
        </w:tabs>
        <w:rPr>
          <w:lang w:val="nl-NL"/>
        </w:rPr>
      </w:pPr>
      <w:r w:rsidRPr="00BC74EF">
        <w:rPr>
          <w:lang w:val="nl-NL"/>
        </w:rPr>
        <w:t>6</w:t>
      </w:r>
      <w:r w:rsidR="00357CBC">
        <w:rPr>
          <w:lang w:val="nl-NL"/>
        </w:rPr>
        <w:t>1</w:t>
      </w:r>
      <w:r w:rsidRPr="00BC74EF">
        <w:rPr>
          <w:lang w:val="nl-NL"/>
        </w:rPr>
        <w:t>.</w:t>
      </w:r>
      <w:r w:rsidRPr="00BC74EF">
        <w:rPr>
          <w:lang w:val="nl-NL"/>
        </w:rPr>
        <w:tab/>
      </w:r>
      <w:r w:rsidR="00764761">
        <w:rPr>
          <w:lang w:val="nl-NL"/>
        </w:rPr>
        <w:t>Ten einde</w:t>
      </w:r>
      <w:r w:rsidR="003C5AB4" w:rsidRPr="00BC74EF">
        <w:rPr>
          <w:lang w:val="nl-NL"/>
        </w:rPr>
        <w:t xml:space="preserve"> te </w:t>
      </w:r>
      <w:r w:rsidR="00D81E9B" w:rsidRPr="00BC74EF">
        <w:rPr>
          <w:lang w:val="nl-NL"/>
        </w:rPr>
        <w:t xml:space="preserve">voldoen aan de verplichting </w:t>
      </w:r>
      <w:r w:rsidR="00764761">
        <w:rPr>
          <w:lang w:val="nl-NL"/>
        </w:rPr>
        <w:t>om</w:t>
      </w:r>
      <w:r w:rsidR="003F35C1" w:rsidRPr="00BC74EF">
        <w:rPr>
          <w:lang w:val="nl-NL"/>
        </w:rPr>
        <w:t xml:space="preserve"> </w:t>
      </w:r>
      <w:r w:rsidR="003C5AB4" w:rsidRPr="00BC74EF">
        <w:rPr>
          <w:lang w:val="nl-NL"/>
        </w:rPr>
        <w:t xml:space="preserve">het recht </w:t>
      </w:r>
      <w:r w:rsidR="00C04B07" w:rsidRPr="00BC74EF">
        <w:rPr>
          <w:lang w:val="nl-NL"/>
        </w:rPr>
        <w:t>van</w:t>
      </w:r>
      <w:r w:rsidR="00FF34DA">
        <w:rPr>
          <w:lang w:val="nl-NL"/>
        </w:rPr>
        <w:t xml:space="preserve"> personen met een handicap </w:t>
      </w:r>
      <w:r w:rsidR="003C5AB4" w:rsidRPr="00BC74EF">
        <w:rPr>
          <w:lang w:val="nl-NL"/>
        </w:rPr>
        <w:t>op werk en werkgelegenheid</w:t>
      </w:r>
      <w:r w:rsidR="00764761">
        <w:rPr>
          <w:lang w:val="nl-NL"/>
        </w:rPr>
        <w:t xml:space="preserve"> te waarborgen</w:t>
      </w:r>
      <w:r w:rsidR="003C5AB4" w:rsidRPr="00BC74EF">
        <w:rPr>
          <w:lang w:val="nl-NL"/>
        </w:rPr>
        <w:t xml:space="preserve">, zijn de </w:t>
      </w:r>
      <w:r w:rsidR="003001A8">
        <w:rPr>
          <w:lang w:val="nl-NL"/>
        </w:rPr>
        <w:t>Staten die Partij</w:t>
      </w:r>
      <w:r w:rsidR="00E415FB" w:rsidRPr="00BC74EF">
        <w:rPr>
          <w:lang w:val="nl-NL"/>
        </w:rPr>
        <w:t xml:space="preserve"> zijn </w:t>
      </w:r>
      <w:r w:rsidR="003C5AB4" w:rsidRPr="00BC74EF">
        <w:rPr>
          <w:lang w:val="nl-NL"/>
        </w:rPr>
        <w:t xml:space="preserve">verplicht </w:t>
      </w:r>
      <w:r w:rsidR="005368A2" w:rsidRPr="00BC74EF">
        <w:rPr>
          <w:lang w:val="nl-NL"/>
        </w:rPr>
        <w:t xml:space="preserve">dit </w:t>
      </w:r>
      <w:r w:rsidR="003C5AB4" w:rsidRPr="00BC74EF">
        <w:rPr>
          <w:lang w:val="nl-NL"/>
        </w:rPr>
        <w:t xml:space="preserve">recht te erkennen in de nationale rechtsstelsels en een nationaal beleid en een gedetailleerd actieplan aan te nemen voor de verwezenlijking ervan. </w:t>
      </w:r>
      <w:r w:rsidR="005368A2" w:rsidRPr="00BC74EF">
        <w:rPr>
          <w:lang w:val="nl-NL"/>
        </w:rPr>
        <w:t xml:space="preserve">Voor </w:t>
      </w:r>
      <w:r w:rsidR="003C5AB4" w:rsidRPr="00BC74EF">
        <w:rPr>
          <w:lang w:val="nl-NL"/>
        </w:rPr>
        <w:t>het beleid en het plan dienen voldoende middelen te worden uitgetrokken o</w:t>
      </w:r>
      <w:r w:rsidR="00B34774">
        <w:rPr>
          <w:lang w:val="nl-NL"/>
        </w:rPr>
        <w:t>pdat meer personen met een handicap</w:t>
      </w:r>
      <w:r w:rsidR="003C5AB4" w:rsidRPr="00BC74EF">
        <w:rPr>
          <w:lang w:val="nl-NL"/>
        </w:rPr>
        <w:t>, met name vrouwen</w:t>
      </w:r>
      <w:r w:rsidR="00B34774">
        <w:rPr>
          <w:lang w:val="nl-NL"/>
        </w:rPr>
        <w:t xml:space="preserve"> met een handicap</w:t>
      </w:r>
      <w:r w:rsidR="005368A2" w:rsidRPr="00BC74EF">
        <w:rPr>
          <w:lang w:val="nl-NL"/>
        </w:rPr>
        <w:t xml:space="preserve">, </w:t>
      </w:r>
      <w:r w:rsidR="00B34774">
        <w:rPr>
          <w:lang w:val="nl-NL"/>
        </w:rPr>
        <w:t>toegang zouden krijgen tot de arbeidsmarkt</w:t>
      </w:r>
      <w:r w:rsidR="003C5AB4" w:rsidRPr="00BC74EF">
        <w:rPr>
          <w:lang w:val="nl-NL"/>
        </w:rPr>
        <w:t xml:space="preserve">. De </w:t>
      </w:r>
      <w:r w:rsidR="003001A8">
        <w:rPr>
          <w:lang w:val="nl-NL"/>
        </w:rPr>
        <w:t>Staten die Partij</w:t>
      </w:r>
      <w:r w:rsidR="00E415FB" w:rsidRPr="00BC74EF">
        <w:rPr>
          <w:lang w:val="nl-NL"/>
        </w:rPr>
        <w:t xml:space="preserve"> zijn, </w:t>
      </w:r>
      <w:r w:rsidR="005368A2" w:rsidRPr="00BC74EF">
        <w:rPr>
          <w:lang w:val="nl-NL"/>
        </w:rPr>
        <w:t xml:space="preserve">zijn </w:t>
      </w:r>
      <w:r w:rsidR="003C5AB4" w:rsidRPr="00BC74EF">
        <w:rPr>
          <w:lang w:val="nl-NL"/>
        </w:rPr>
        <w:t>tevens verplicht personen met een handicap toegankelijke informatie te verstrekken over de nieuwe technologieën die zijn ontwikkeld ingevolge de verplichting tot vergemakkelijking</w:t>
      </w:r>
      <w:r w:rsidR="00B34774">
        <w:rPr>
          <w:lang w:val="nl-NL"/>
        </w:rPr>
        <w:t xml:space="preserve"> van de uitoefening van het recht op arbeid</w:t>
      </w:r>
      <w:r w:rsidR="003C5AB4" w:rsidRPr="00BC74EF">
        <w:rPr>
          <w:lang w:val="nl-NL"/>
        </w:rPr>
        <w:t>.</w:t>
      </w:r>
    </w:p>
    <w:p w14:paraId="3C72F141" w14:textId="70E4E6A5" w:rsidR="00F6202B" w:rsidRPr="00BC74EF" w:rsidRDefault="00431A14">
      <w:pPr>
        <w:pStyle w:val="SingleTxtG"/>
        <w:tabs>
          <w:tab w:val="clear" w:pos="2268"/>
        </w:tabs>
        <w:rPr>
          <w:lang w:val="nl-NL"/>
        </w:rPr>
      </w:pPr>
      <w:r w:rsidRPr="00BC74EF">
        <w:rPr>
          <w:lang w:val="nl-NL"/>
        </w:rPr>
        <w:t>6</w:t>
      </w:r>
      <w:r w:rsidR="00357CBC">
        <w:rPr>
          <w:lang w:val="nl-NL"/>
        </w:rPr>
        <w:t>2</w:t>
      </w:r>
      <w:r w:rsidRPr="00BC74EF">
        <w:rPr>
          <w:lang w:val="nl-NL"/>
        </w:rPr>
        <w:t>.</w:t>
      </w:r>
      <w:r w:rsidRPr="00BC74EF">
        <w:rPr>
          <w:lang w:val="nl-NL"/>
        </w:rPr>
        <w:tab/>
      </w:r>
      <w:r w:rsidR="003C5AB4" w:rsidRPr="00BC74EF">
        <w:rPr>
          <w:lang w:val="nl-NL"/>
        </w:rPr>
        <w:t xml:space="preserve">Teneinde </w:t>
      </w:r>
      <w:r w:rsidR="00D81E9B" w:rsidRPr="00BC74EF">
        <w:rPr>
          <w:lang w:val="nl-NL"/>
        </w:rPr>
        <w:t xml:space="preserve">te voldoen aan de verplichting </w:t>
      </w:r>
      <w:r w:rsidR="003C5AB4" w:rsidRPr="00BC74EF">
        <w:rPr>
          <w:lang w:val="nl-NL"/>
        </w:rPr>
        <w:t xml:space="preserve">het recht </w:t>
      </w:r>
      <w:r w:rsidR="00C04B07" w:rsidRPr="00BC74EF">
        <w:rPr>
          <w:lang w:val="nl-NL"/>
        </w:rPr>
        <w:t xml:space="preserve">van personen met een handicap </w:t>
      </w:r>
      <w:r w:rsidR="003C5AB4" w:rsidRPr="00BC74EF">
        <w:rPr>
          <w:lang w:val="nl-NL"/>
        </w:rPr>
        <w:t xml:space="preserve">op werk en werkgelegenheid te bevorderen, dienen de </w:t>
      </w:r>
      <w:r w:rsidR="003001A8">
        <w:rPr>
          <w:lang w:val="nl-NL"/>
        </w:rPr>
        <w:t>Staten die Partij</w:t>
      </w:r>
      <w:r w:rsidR="00E415FB" w:rsidRPr="00BC74EF">
        <w:rPr>
          <w:lang w:val="nl-NL"/>
        </w:rPr>
        <w:t xml:space="preserve"> zijn </w:t>
      </w:r>
      <w:r w:rsidR="003C5AB4" w:rsidRPr="00BC74EF">
        <w:rPr>
          <w:lang w:val="nl-NL"/>
        </w:rPr>
        <w:t>maatregelen te nemen om te zorgen voor passende onderwijs-, voorlichtings- en bewustmakingscampagnes</w:t>
      </w:r>
      <w:r w:rsidR="00D81E9B" w:rsidRPr="00BC74EF">
        <w:rPr>
          <w:lang w:val="nl-NL"/>
        </w:rPr>
        <w:t xml:space="preserve">, </w:t>
      </w:r>
      <w:r w:rsidR="003C5AB4" w:rsidRPr="00BC74EF">
        <w:rPr>
          <w:lang w:val="nl-NL"/>
        </w:rPr>
        <w:t>met inbegrip van gendermainstreaming, in zowel de particuliere als de openbare sector. Bewustmakingscampagnes dienen gericht te zijn op werkgevers en werknemers in de particuliere en de openbare sector</w:t>
      </w:r>
      <w:r w:rsidR="007408B6" w:rsidRPr="00BC74EF">
        <w:rPr>
          <w:lang w:val="nl-NL"/>
        </w:rPr>
        <w:t xml:space="preserve">, </w:t>
      </w:r>
      <w:r w:rsidR="003C5AB4" w:rsidRPr="00BC74EF">
        <w:rPr>
          <w:lang w:val="nl-NL"/>
        </w:rPr>
        <w:t>werv</w:t>
      </w:r>
      <w:r w:rsidR="00B34774">
        <w:rPr>
          <w:lang w:val="nl-NL"/>
        </w:rPr>
        <w:t>ings-</w:t>
      </w:r>
      <w:r w:rsidR="003C5AB4" w:rsidRPr="00BC74EF">
        <w:rPr>
          <w:lang w:val="nl-NL"/>
        </w:rPr>
        <w:t xml:space="preserve"> en uitzendbureaus</w:t>
      </w:r>
      <w:r w:rsidR="007408B6" w:rsidRPr="00BC74EF">
        <w:rPr>
          <w:lang w:val="nl-NL"/>
        </w:rPr>
        <w:t xml:space="preserve">, </w:t>
      </w:r>
      <w:r w:rsidR="003C5AB4" w:rsidRPr="00BC74EF">
        <w:rPr>
          <w:lang w:val="nl-NL"/>
        </w:rPr>
        <w:t>en het grote publiek</w:t>
      </w:r>
      <w:r w:rsidR="007408B6" w:rsidRPr="00BC74EF">
        <w:rPr>
          <w:lang w:val="nl-NL"/>
        </w:rPr>
        <w:t xml:space="preserve">, </w:t>
      </w:r>
      <w:r w:rsidR="003C5AB4" w:rsidRPr="00BC74EF">
        <w:rPr>
          <w:lang w:val="nl-NL"/>
        </w:rPr>
        <w:t xml:space="preserve">en </w:t>
      </w:r>
      <w:r w:rsidR="007408B6" w:rsidRPr="00BC74EF">
        <w:rPr>
          <w:lang w:val="nl-NL"/>
        </w:rPr>
        <w:t xml:space="preserve">dienen </w:t>
      </w:r>
      <w:r w:rsidR="003C5AB4" w:rsidRPr="00BC74EF">
        <w:rPr>
          <w:lang w:val="nl-NL"/>
        </w:rPr>
        <w:t>te worden gevoerd in relevante talen en in voor</w:t>
      </w:r>
      <w:r w:rsidR="00FF34DA">
        <w:rPr>
          <w:lang w:val="nl-NL"/>
        </w:rPr>
        <w:t xml:space="preserve"> personen met een handicap </w:t>
      </w:r>
      <w:r w:rsidR="003C5AB4" w:rsidRPr="00BC74EF">
        <w:rPr>
          <w:lang w:val="nl-NL"/>
        </w:rPr>
        <w:t xml:space="preserve">toegankelijke formaten.  </w:t>
      </w:r>
    </w:p>
    <w:p w14:paraId="209E147F" w14:textId="21433A12" w:rsidR="00F6202B" w:rsidRPr="00BC74EF" w:rsidRDefault="002755DB">
      <w:pPr>
        <w:pStyle w:val="H1G"/>
        <w:rPr>
          <w:lang w:val="nl-NL"/>
        </w:rPr>
      </w:pPr>
      <w:r w:rsidRPr="00BC74EF">
        <w:rPr>
          <w:lang w:val="nl-NL"/>
        </w:rPr>
        <w:lastRenderedPageBreak/>
        <w:tab/>
      </w:r>
      <w:r w:rsidR="00E65790" w:rsidRPr="00BC74EF">
        <w:rPr>
          <w:lang w:val="nl-NL"/>
        </w:rPr>
        <w:t>B.</w:t>
      </w:r>
      <w:r w:rsidRPr="00BC74EF">
        <w:rPr>
          <w:lang w:val="nl-NL"/>
        </w:rPr>
        <w:tab/>
      </w:r>
      <w:r w:rsidR="00B34774">
        <w:rPr>
          <w:lang w:val="nl-NL"/>
        </w:rPr>
        <w:t>Basis</w:t>
      </w:r>
      <w:r w:rsidR="003C5AB4" w:rsidRPr="00BC74EF">
        <w:rPr>
          <w:lang w:val="nl-NL"/>
        </w:rPr>
        <w:t>verplichtingen</w:t>
      </w:r>
    </w:p>
    <w:p w14:paraId="6B85035B" w14:textId="4A4323B5" w:rsidR="00F6202B" w:rsidRPr="00BC74EF" w:rsidRDefault="00431A14">
      <w:pPr>
        <w:pStyle w:val="SingleTxtG"/>
        <w:rPr>
          <w:lang w:val="nl-NL"/>
        </w:rPr>
      </w:pPr>
      <w:r w:rsidRPr="00BC74EF">
        <w:rPr>
          <w:lang w:val="nl-NL"/>
        </w:rPr>
        <w:t>6</w:t>
      </w:r>
      <w:r w:rsidR="00357CBC">
        <w:rPr>
          <w:lang w:val="nl-NL"/>
        </w:rPr>
        <w:t>3</w:t>
      </w:r>
      <w:r w:rsidRPr="00BC74EF">
        <w:rPr>
          <w:lang w:val="nl-NL"/>
        </w:rPr>
        <w:t>.</w:t>
      </w:r>
      <w:r w:rsidRPr="00BC74EF">
        <w:rPr>
          <w:lang w:val="nl-NL"/>
        </w:rPr>
        <w:tab/>
      </w:r>
      <w:bookmarkStart w:id="32" w:name="_Hlk103948413"/>
      <w:r w:rsidR="002D0C79" w:rsidRPr="00BC74EF">
        <w:rPr>
          <w:lang w:val="nl-NL"/>
        </w:rPr>
        <w:t xml:space="preserve">De </w:t>
      </w:r>
      <w:r w:rsidR="003001A8">
        <w:rPr>
          <w:lang w:val="nl-NL"/>
        </w:rPr>
        <w:t>Staten die Partij</w:t>
      </w:r>
      <w:r w:rsidR="002D0C79" w:rsidRPr="00BC74EF">
        <w:rPr>
          <w:lang w:val="nl-NL"/>
        </w:rPr>
        <w:t xml:space="preserve"> zijn hebben </w:t>
      </w:r>
      <w:r w:rsidR="00BA4D52" w:rsidRPr="00BC74EF">
        <w:rPr>
          <w:lang w:val="nl-NL"/>
        </w:rPr>
        <w:t xml:space="preserve">een onmiddellijke </w:t>
      </w:r>
      <w:r w:rsidR="00B34774">
        <w:rPr>
          <w:lang w:val="nl-NL"/>
        </w:rPr>
        <w:t>basis</w:t>
      </w:r>
      <w:r w:rsidR="00C03687" w:rsidRPr="00BC74EF">
        <w:rPr>
          <w:lang w:val="nl-NL"/>
        </w:rPr>
        <w:t xml:space="preserve">verplichting om ervoor te zorgen dat het recht op arbeid </w:t>
      </w:r>
      <w:r w:rsidR="00080734" w:rsidRPr="00BC74EF">
        <w:rPr>
          <w:lang w:val="nl-NL"/>
        </w:rPr>
        <w:t xml:space="preserve">en werkgelegenheid op zijn minst op </w:t>
      </w:r>
      <w:r w:rsidR="00C03687" w:rsidRPr="00BC74EF">
        <w:rPr>
          <w:lang w:val="nl-NL"/>
        </w:rPr>
        <w:t>een essentieel niveau wordt gewaarborgd.</w:t>
      </w:r>
      <w:r w:rsidR="00C03687" w:rsidRPr="00BC74EF">
        <w:rPr>
          <w:rStyle w:val="Voetnootmarkering"/>
          <w:lang w:val="nl-NL"/>
        </w:rPr>
        <w:footnoteReference w:id="53"/>
      </w:r>
      <w:r w:rsidR="00C03687" w:rsidRPr="00BC74EF">
        <w:rPr>
          <w:lang w:val="nl-NL"/>
        </w:rPr>
        <w:t xml:space="preserve">  In de context van artikel </w:t>
      </w:r>
      <w:r w:rsidR="00080734" w:rsidRPr="00BC74EF">
        <w:rPr>
          <w:lang w:val="nl-NL"/>
        </w:rPr>
        <w:t xml:space="preserve">27 </w:t>
      </w:r>
      <w:r w:rsidR="00FC0B95" w:rsidRPr="00BC74EF">
        <w:rPr>
          <w:lang w:val="nl-NL"/>
        </w:rPr>
        <w:t xml:space="preserve">omvat deze </w:t>
      </w:r>
      <w:r w:rsidR="00B34774">
        <w:rPr>
          <w:lang w:val="nl-NL"/>
        </w:rPr>
        <w:t>basis</w:t>
      </w:r>
      <w:r w:rsidR="00C03687" w:rsidRPr="00BC74EF">
        <w:rPr>
          <w:lang w:val="nl-NL"/>
        </w:rPr>
        <w:t xml:space="preserve">verplichting de verplichting om </w:t>
      </w:r>
      <w:r w:rsidR="00080734" w:rsidRPr="00BC74EF">
        <w:rPr>
          <w:lang w:val="nl-NL"/>
        </w:rPr>
        <w:t xml:space="preserve">non-discriminatie </w:t>
      </w:r>
      <w:r w:rsidR="00C03687" w:rsidRPr="00BC74EF">
        <w:rPr>
          <w:lang w:val="nl-NL"/>
        </w:rPr>
        <w:t>en gelijke bescherming</w:t>
      </w:r>
      <w:r w:rsidR="00B34774">
        <w:rPr>
          <w:lang w:val="nl-NL"/>
        </w:rPr>
        <w:t xml:space="preserve"> van de werkgelegenheid</w:t>
      </w:r>
      <w:r w:rsidR="00C03687" w:rsidRPr="00BC74EF">
        <w:rPr>
          <w:lang w:val="nl-NL"/>
        </w:rPr>
        <w:t xml:space="preserve"> te waarborgen</w:t>
      </w:r>
      <w:r w:rsidR="002D0C79" w:rsidRPr="00BC74EF">
        <w:rPr>
          <w:lang w:val="nl-NL"/>
        </w:rPr>
        <w:t>.</w:t>
      </w:r>
      <w:r w:rsidR="002D0C79" w:rsidRPr="00BC74EF">
        <w:rPr>
          <w:rStyle w:val="Voetnootmarkering"/>
          <w:lang w:val="nl-NL"/>
        </w:rPr>
        <w:footnoteReference w:id="54"/>
      </w:r>
      <w:bookmarkEnd w:id="32"/>
    </w:p>
    <w:p w14:paraId="68DEB53D" w14:textId="672C065C" w:rsidR="00F6202B" w:rsidRPr="00BC74EF" w:rsidRDefault="00431A14">
      <w:pPr>
        <w:pStyle w:val="SingleTxtG"/>
        <w:tabs>
          <w:tab w:val="clear" w:pos="2268"/>
        </w:tabs>
        <w:rPr>
          <w:lang w:val="nl-NL"/>
        </w:rPr>
      </w:pPr>
      <w:r w:rsidRPr="00BC74EF">
        <w:rPr>
          <w:lang w:val="nl-NL"/>
        </w:rPr>
        <w:t>6</w:t>
      </w:r>
      <w:r w:rsidR="00357CBC">
        <w:rPr>
          <w:lang w:val="nl-NL"/>
        </w:rPr>
        <w:t>4</w:t>
      </w:r>
      <w:r w:rsidR="0006414B" w:rsidRPr="00BC74EF">
        <w:rPr>
          <w:lang w:val="nl-NL"/>
        </w:rPr>
        <w:t>.</w:t>
      </w:r>
      <w:r w:rsidR="0006414B" w:rsidRPr="00BC74EF">
        <w:rPr>
          <w:lang w:val="nl-NL"/>
        </w:rPr>
        <w:tab/>
      </w:r>
      <w:r w:rsidR="0035385B" w:rsidRPr="00BC74EF">
        <w:rPr>
          <w:lang w:val="nl-NL"/>
        </w:rPr>
        <w:t xml:space="preserve">In zijn </w:t>
      </w:r>
      <w:r w:rsidR="003C5AB4" w:rsidRPr="00BC74EF">
        <w:rPr>
          <w:lang w:val="nl-NL"/>
        </w:rPr>
        <w:t xml:space="preserve">jurisprudentie over artikel 5 van het </w:t>
      </w:r>
      <w:r w:rsidR="00B34774">
        <w:rPr>
          <w:lang w:val="nl-NL"/>
        </w:rPr>
        <w:t>V</w:t>
      </w:r>
      <w:r w:rsidR="003C5AB4" w:rsidRPr="00BC74EF">
        <w:rPr>
          <w:lang w:val="nl-NL"/>
        </w:rPr>
        <w:t xml:space="preserve">erdrag </w:t>
      </w:r>
      <w:r w:rsidR="00DB1973" w:rsidRPr="00BC74EF">
        <w:rPr>
          <w:lang w:val="nl-NL"/>
        </w:rPr>
        <w:t xml:space="preserve">heeft </w:t>
      </w:r>
      <w:r w:rsidR="0035385B" w:rsidRPr="00BC74EF">
        <w:rPr>
          <w:lang w:val="nl-NL"/>
        </w:rPr>
        <w:t xml:space="preserve">het comité </w:t>
      </w:r>
      <w:r w:rsidR="003C5AB4" w:rsidRPr="00BC74EF">
        <w:rPr>
          <w:lang w:val="nl-NL"/>
        </w:rPr>
        <w:t xml:space="preserve">de onmiddellijke stappen uiteengezet </w:t>
      </w:r>
      <w:r w:rsidR="000A3777" w:rsidRPr="00BC74EF">
        <w:rPr>
          <w:lang w:val="nl-NL"/>
        </w:rPr>
        <w:t xml:space="preserve">die </w:t>
      </w:r>
      <w:r w:rsidR="003C5AB4" w:rsidRPr="00BC74EF">
        <w:rPr>
          <w:lang w:val="nl-NL"/>
        </w:rPr>
        <w:t xml:space="preserve">de </w:t>
      </w:r>
      <w:r w:rsidR="003001A8">
        <w:rPr>
          <w:lang w:val="nl-NL"/>
        </w:rPr>
        <w:t>Staten die Partij</w:t>
      </w:r>
      <w:r w:rsidR="00E415FB" w:rsidRPr="00BC74EF">
        <w:rPr>
          <w:lang w:val="nl-NL"/>
        </w:rPr>
        <w:t xml:space="preserve"> zijn</w:t>
      </w:r>
      <w:r w:rsidR="00ED3A8B">
        <w:rPr>
          <w:lang w:val="nl-NL"/>
        </w:rPr>
        <w:t>,</w:t>
      </w:r>
      <w:r w:rsidR="00E415FB" w:rsidRPr="00BC74EF">
        <w:rPr>
          <w:lang w:val="nl-NL"/>
        </w:rPr>
        <w:t xml:space="preserve"> moeten </w:t>
      </w:r>
      <w:r w:rsidR="003C5AB4" w:rsidRPr="00BC74EF">
        <w:rPr>
          <w:lang w:val="nl-NL"/>
        </w:rPr>
        <w:t xml:space="preserve">nemen om de facto gelijkheid te bereiken en non-discriminatie op grond van handicap met betrekking tot het recht op </w:t>
      </w:r>
      <w:r w:rsidR="00ED3A8B">
        <w:rPr>
          <w:lang w:val="nl-NL"/>
        </w:rPr>
        <w:t>werk</w:t>
      </w:r>
      <w:r w:rsidR="003C5AB4" w:rsidRPr="00BC74EF">
        <w:rPr>
          <w:lang w:val="nl-NL"/>
        </w:rPr>
        <w:t xml:space="preserve"> en werkgelegenheid te waarborgen</w:t>
      </w:r>
      <w:r w:rsidR="00CB799E" w:rsidRPr="00BC74EF">
        <w:rPr>
          <w:rStyle w:val="Voetnootmarkering"/>
          <w:lang w:val="nl-NL"/>
        </w:rPr>
        <w:footnoteReference w:id="55"/>
      </w:r>
      <w:r w:rsidR="00DB1973" w:rsidRPr="00BC74EF">
        <w:rPr>
          <w:lang w:val="nl-NL"/>
        </w:rPr>
        <w:t xml:space="preserve"> Teneinde </w:t>
      </w:r>
      <w:r w:rsidR="00ED3A8B">
        <w:rPr>
          <w:lang w:val="nl-NL"/>
        </w:rPr>
        <w:t xml:space="preserve">het beginsel van de </w:t>
      </w:r>
      <w:r w:rsidR="003C5AB4" w:rsidRPr="00BC74EF">
        <w:rPr>
          <w:lang w:val="nl-NL"/>
        </w:rPr>
        <w:t xml:space="preserve">redelijke aanpassingen </w:t>
      </w:r>
      <w:r w:rsidR="00377530" w:rsidRPr="00BC74EF">
        <w:rPr>
          <w:lang w:val="nl-NL"/>
        </w:rPr>
        <w:t xml:space="preserve">overeenkomstig </w:t>
      </w:r>
      <w:r w:rsidR="00DB1973" w:rsidRPr="00BC74EF">
        <w:rPr>
          <w:lang w:val="nl-NL"/>
        </w:rPr>
        <w:t xml:space="preserve">artikel </w:t>
      </w:r>
      <w:r w:rsidR="003C5AB4" w:rsidRPr="00BC74EF">
        <w:rPr>
          <w:lang w:val="nl-NL"/>
        </w:rPr>
        <w:t>5, lid 3, en artikel 27, lid 1, onder i), te waarborgen en de feitelijke gelijkheid op het gebied van werk en werkgelegenheid overeenkomstig artikel 5, lid 4, te bereiken of te versnellen</w:t>
      </w:r>
      <w:r w:rsidR="00377530" w:rsidRPr="00BC74EF">
        <w:rPr>
          <w:lang w:val="nl-NL"/>
        </w:rPr>
        <w:t xml:space="preserve">, moeten </w:t>
      </w:r>
      <w:r w:rsidR="003C5AB4" w:rsidRPr="00BC74EF">
        <w:rPr>
          <w:lang w:val="nl-NL"/>
        </w:rPr>
        <w:t xml:space="preserve">de </w:t>
      </w:r>
      <w:r w:rsidR="003001A8">
        <w:rPr>
          <w:lang w:val="nl-NL"/>
        </w:rPr>
        <w:t>Staten die Partij</w:t>
      </w:r>
      <w:r w:rsidR="00E415FB" w:rsidRPr="00BC74EF">
        <w:rPr>
          <w:lang w:val="nl-NL"/>
        </w:rPr>
        <w:t xml:space="preserve"> zijn met </w:t>
      </w:r>
      <w:r w:rsidR="003C5AB4" w:rsidRPr="00BC74EF">
        <w:rPr>
          <w:lang w:val="nl-NL"/>
        </w:rPr>
        <w:t>name:</w:t>
      </w:r>
    </w:p>
    <w:p w14:paraId="42DBD6AD" w14:textId="08F1235F" w:rsidR="00F6202B" w:rsidRPr="00BC74EF" w:rsidRDefault="002755DB">
      <w:pPr>
        <w:pStyle w:val="SingleTxtG"/>
        <w:ind w:firstLine="567"/>
        <w:rPr>
          <w:lang w:val="nl-NL"/>
        </w:rPr>
      </w:pPr>
      <w:r w:rsidRPr="00BC74EF">
        <w:rPr>
          <w:lang w:val="nl-NL"/>
        </w:rPr>
        <w:t>(a)</w:t>
      </w:r>
      <w:r w:rsidRPr="00BC74EF">
        <w:rPr>
          <w:lang w:val="nl-NL"/>
        </w:rPr>
        <w:tab/>
      </w:r>
      <w:r w:rsidR="008F4500">
        <w:rPr>
          <w:lang w:val="nl-NL"/>
        </w:rPr>
        <w:t>Het</w:t>
      </w:r>
      <w:r w:rsidRPr="00BC74EF">
        <w:rPr>
          <w:lang w:val="nl-NL"/>
        </w:rPr>
        <w:t xml:space="preserve"> </w:t>
      </w:r>
      <w:r w:rsidR="00ED3A8B">
        <w:rPr>
          <w:lang w:val="nl-NL"/>
        </w:rPr>
        <w:t>verlaten</w:t>
      </w:r>
      <w:r w:rsidRPr="00BC74EF">
        <w:rPr>
          <w:lang w:val="nl-NL"/>
        </w:rPr>
        <w:t xml:space="preserve"> van gesegregeerde werkomgevingen voor personen met een handicap vergemakkelijken en hun </w:t>
      </w:r>
      <w:r w:rsidR="00ED3A8B">
        <w:rPr>
          <w:lang w:val="nl-NL"/>
        </w:rPr>
        <w:t>intrede op</w:t>
      </w:r>
      <w:r w:rsidRPr="00BC74EF">
        <w:rPr>
          <w:lang w:val="nl-NL"/>
        </w:rPr>
        <w:t xml:space="preserve"> de </w:t>
      </w:r>
      <w:r w:rsidR="00ED3A8B">
        <w:rPr>
          <w:lang w:val="nl-NL"/>
        </w:rPr>
        <w:t>reguliere</w:t>
      </w:r>
      <w:r w:rsidRPr="00BC74EF">
        <w:rPr>
          <w:lang w:val="nl-NL"/>
        </w:rPr>
        <w:t xml:space="preserve"> arbeidsmarkt ondersteunen, en er ondertussen ook voor zorgen dat de arbeidsrechten onmiddellijk van toepassing zijn op die </w:t>
      </w:r>
      <w:r w:rsidR="00ED3A8B">
        <w:rPr>
          <w:lang w:val="nl-NL"/>
        </w:rPr>
        <w:t xml:space="preserve">gesegregeerde </w:t>
      </w:r>
      <w:r w:rsidRPr="00BC74EF">
        <w:rPr>
          <w:lang w:val="nl-NL"/>
        </w:rPr>
        <w:t xml:space="preserve">omgevingen; </w:t>
      </w:r>
    </w:p>
    <w:p w14:paraId="06C78BCF" w14:textId="271E883B" w:rsidR="00F6202B" w:rsidRPr="00BC74EF" w:rsidRDefault="002755DB">
      <w:pPr>
        <w:pStyle w:val="SingleTxtG"/>
        <w:ind w:firstLine="567"/>
        <w:rPr>
          <w:lang w:val="nl-NL"/>
        </w:rPr>
      </w:pPr>
      <w:r w:rsidRPr="00BC74EF">
        <w:rPr>
          <w:lang w:val="nl-NL"/>
        </w:rPr>
        <w:t xml:space="preserve">(b) </w:t>
      </w:r>
      <w:r w:rsidRPr="00BC74EF">
        <w:rPr>
          <w:lang w:val="nl-NL"/>
        </w:rPr>
        <w:tab/>
      </w:r>
      <w:r w:rsidR="008F4500">
        <w:rPr>
          <w:lang w:val="nl-NL"/>
        </w:rPr>
        <w:t>H</w:t>
      </w:r>
      <w:r w:rsidRPr="00BC74EF">
        <w:rPr>
          <w:lang w:val="nl-NL"/>
        </w:rPr>
        <w:t xml:space="preserve">et recht op begeleid werk bevorderen, met inbegrip van </w:t>
      </w:r>
      <w:r w:rsidR="00ED3A8B">
        <w:rPr>
          <w:lang w:val="nl-NL"/>
        </w:rPr>
        <w:t>ondersteuning bij het zoeken naar werk</w:t>
      </w:r>
      <w:r w:rsidRPr="00BC74EF">
        <w:rPr>
          <w:lang w:val="nl-NL"/>
        </w:rPr>
        <w:t>, job</w:t>
      </w:r>
      <w:r w:rsidR="00ED3A8B">
        <w:rPr>
          <w:lang w:val="nl-NL"/>
        </w:rPr>
        <w:t xml:space="preserve"> </w:t>
      </w:r>
      <w:r w:rsidRPr="00BC74EF">
        <w:rPr>
          <w:lang w:val="nl-NL"/>
        </w:rPr>
        <w:t xml:space="preserve">coaching en </w:t>
      </w:r>
      <w:r w:rsidR="00ED3A8B">
        <w:rPr>
          <w:lang w:val="nl-NL"/>
        </w:rPr>
        <w:t>beroepsopleidings</w:t>
      </w:r>
      <w:r w:rsidRPr="00BC74EF">
        <w:rPr>
          <w:lang w:val="nl-NL"/>
        </w:rPr>
        <w:t>programma's; de rechten van werknemers met een handicap</w:t>
      </w:r>
      <w:r w:rsidR="00ED3A8B">
        <w:rPr>
          <w:lang w:val="nl-NL"/>
        </w:rPr>
        <w:t xml:space="preserve"> </w:t>
      </w:r>
      <w:r w:rsidRPr="00BC74EF">
        <w:rPr>
          <w:lang w:val="nl-NL"/>
        </w:rPr>
        <w:t>beschermen; en het recht op vrijelijk gekozen werk  waarborgen;</w:t>
      </w:r>
    </w:p>
    <w:p w14:paraId="304B3953" w14:textId="4EEEB60E" w:rsidR="00F6202B" w:rsidRPr="00BC74EF" w:rsidRDefault="002755DB">
      <w:pPr>
        <w:pStyle w:val="SingleTxtG"/>
        <w:ind w:firstLine="567"/>
        <w:rPr>
          <w:lang w:val="nl-NL"/>
        </w:rPr>
      </w:pPr>
      <w:r w:rsidRPr="00BC74EF">
        <w:rPr>
          <w:lang w:val="nl-NL"/>
        </w:rPr>
        <w:t xml:space="preserve">(c) </w:t>
      </w:r>
      <w:r w:rsidRPr="00BC74EF">
        <w:rPr>
          <w:lang w:val="nl-NL"/>
        </w:rPr>
        <w:tab/>
      </w:r>
      <w:r w:rsidR="008F4500">
        <w:rPr>
          <w:lang w:val="nl-NL"/>
        </w:rPr>
        <w:t>E</w:t>
      </w:r>
      <w:r w:rsidRPr="00BC74EF">
        <w:rPr>
          <w:lang w:val="nl-NL"/>
        </w:rPr>
        <w:t xml:space="preserve">rvoor zorgen dat personen met een handicap niet minder dan het minimumloon betaald krijgen en de </w:t>
      </w:r>
      <w:r w:rsidR="00ED3A8B">
        <w:rPr>
          <w:lang w:val="nl-NL"/>
        </w:rPr>
        <w:t>tegemoetkoming</w:t>
      </w:r>
      <w:r w:rsidRPr="00BC74EF">
        <w:rPr>
          <w:lang w:val="nl-NL"/>
        </w:rPr>
        <w:t xml:space="preserve"> voor</w:t>
      </w:r>
      <w:r w:rsidR="00FF34DA">
        <w:rPr>
          <w:lang w:val="nl-NL"/>
        </w:rPr>
        <w:t xml:space="preserve"> personen met een handicap </w:t>
      </w:r>
      <w:r w:rsidRPr="00BC74EF">
        <w:rPr>
          <w:lang w:val="nl-NL"/>
        </w:rPr>
        <w:t>niet verliezen wanneer zij aan het werk gaan;</w:t>
      </w:r>
    </w:p>
    <w:p w14:paraId="50E2F6AC" w14:textId="40E3058E" w:rsidR="00F6202B" w:rsidRPr="00BC74EF" w:rsidRDefault="002755DB">
      <w:pPr>
        <w:pStyle w:val="SingleTxtG"/>
        <w:ind w:firstLine="567"/>
        <w:rPr>
          <w:lang w:val="nl-NL"/>
        </w:rPr>
      </w:pPr>
      <w:r w:rsidRPr="00BC74EF">
        <w:rPr>
          <w:lang w:val="nl-NL"/>
        </w:rPr>
        <w:t xml:space="preserve">(d) </w:t>
      </w:r>
      <w:r w:rsidRPr="00BC74EF">
        <w:rPr>
          <w:lang w:val="nl-NL"/>
        </w:rPr>
        <w:tab/>
      </w:r>
      <w:r w:rsidR="008F4500">
        <w:rPr>
          <w:lang w:val="nl-NL"/>
        </w:rPr>
        <w:t>He</w:t>
      </w:r>
      <w:r w:rsidRPr="00BC74EF">
        <w:rPr>
          <w:lang w:val="nl-NL"/>
        </w:rPr>
        <w:t xml:space="preserve">t weigeren van redelijke aanpassingen uitdrukkelijk erkennen als discriminatie en meervoudige en intersectionele discriminatie en intimidatie verbieden; </w:t>
      </w:r>
    </w:p>
    <w:p w14:paraId="2E1E164D" w14:textId="609AEDEE" w:rsidR="00F6202B" w:rsidRPr="00BC74EF" w:rsidRDefault="002755DB">
      <w:pPr>
        <w:pStyle w:val="SingleTxtG"/>
        <w:ind w:firstLine="567"/>
        <w:rPr>
          <w:lang w:val="nl-NL"/>
        </w:rPr>
      </w:pPr>
      <w:r w:rsidRPr="00BC74EF">
        <w:rPr>
          <w:lang w:val="nl-NL"/>
        </w:rPr>
        <w:t xml:space="preserve">(e) </w:t>
      </w:r>
      <w:r w:rsidRPr="00BC74EF">
        <w:rPr>
          <w:lang w:val="nl-NL"/>
        </w:rPr>
        <w:tab/>
      </w:r>
      <w:r w:rsidR="008F4500">
        <w:rPr>
          <w:lang w:val="nl-NL"/>
        </w:rPr>
        <w:t>Z</w:t>
      </w:r>
      <w:r w:rsidRPr="00BC74EF">
        <w:rPr>
          <w:lang w:val="nl-NL"/>
        </w:rPr>
        <w:t>orgen voor een goede</w:t>
      </w:r>
      <w:r w:rsidR="00ED3A8B">
        <w:rPr>
          <w:lang w:val="nl-NL"/>
        </w:rPr>
        <w:t xml:space="preserve"> en niet-discriminerende</w:t>
      </w:r>
      <w:r w:rsidRPr="00BC74EF">
        <w:rPr>
          <w:lang w:val="nl-NL"/>
        </w:rPr>
        <w:t xml:space="preserve"> overgang </w:t>
      </w:r>
      <w:r w:rsidR="00ED3A8B">
        <w:rPr>
          <w:lang w:val="nl-NL"/>
        </w:rPr>
        <w:t>van en naar</w:t>
      </w:r>
      <w:r w:rsidRPr="00BC74EF">
        <w:rPr>
          <w:lang w:val="nl-NL"/>
        </w:rPr>
        <w:t xml:space="preserve"> werk voor personen met een handicap. De </w:t>
      </w:r>
      <w:r w:rsidR="003001A8">
        <w:rPr>
          <w:lang w:val="nl-NL"/>
        </w:rPr>
        <w:t>Staten die Partij</w:t>
      </w:r>
      <w:r w:rsidRPr="00BC74EF">
        <w:rPr>
          <w:lang w:val="nl-NL"/>
        </w:rPr>
        <w:t xml:space="preserve"> zijn, zijn verplicht gelijke en effectieve toegang </w:t>
      </w:r>
      <w:r w:rsidR="00ED3A8B">
        <w:rPr>
          <w:lang w:val="nl-NL"/>
        </w:rPr>
        <w:t xml:space="preserve">te waarborgen </w:t>
      </w:r>
      <w:r w:rsidRPr="00BC74EF">
        <w:rPr>
          <w:lang w:val="nl-NL"/>
        </w:rPr>
        <w:t xml:space="preserve">tot uitkeringen en rechten, zoals pensioen- of werkloosheidsuitkeringen. Deze rechten mogen niet worden geschonden </w:t>
      </w:r>
      <w:r w:rsidR="00F142BA">
        <w:rPr>
          <w:lang w:val="nl-NL"/>
        </w:rPr>
        <w:t>in geval van u</w:t>
      </w:r>
      <w:r w:rsidRPr="00BC74EF">
        <w:rPr>
          <w:lang w:val="nl-NL"/>
        </w:rPr>
        <w:t xml:space="preserve">itsluiting van werk, waardoor de situatie van uitsluiting nog </w:t>
      </w:r>
      <w:r w:rsidR="00ED3A8B">
        <w:rPr>
          <w:lang w:val="nl-NL"/>
        </w:rPr>
        <w:t>zou verergeren</w:t>
      </w:r>
      <w:r w:rsidRPr="00BC74EF">
        <w:rPr>
          <w:lang w:val="nl-NL"/>
        </w:rPr>
        <w:t>;</w:t>
      </w:r>
    </w:p>
    <w:p w14:paraId="534A5E70" w14:textId="1F32F72A" w:rsidR="00F6202B" w:rsidRPr="00BC74EF" w:rsidRDefault="002755DB">
      <w:pPr>
        <w:pStyle w:val="SingleTxtG"/>
        <w:ind w:firstLine="567"/>
        <w:rPr>
          <w:lang w:val="nl-NL"/>
        </w:rPr>
      </w:pPr>
      <w:r w:rsidRPr="00BC74EF">
        <w:rPr>
          <w:lang w:val="nl-NL"/>
        </w:rPr>
        <w:t xml:space="preserve">(f) </w:t>
      </w:r>
      <w:r w:rsidRPr="00BC74EF">
        <w:rPr>
          <w:lang w:val="nl-NL"/>
        </w:rPr>
        <w:tab/>
        <w:t>Bevorderen van werk in inclusieve en toegankelijke, veilige en gezonde werkomgevingen</w:t>
      </w:r>
      <w:r w:rsidR="00F142BA">
        <w:rPr>
          <w:lang w:val="nl-NL"/>
        </w:rPr>
        <w:t>, met inbegrip van aangepaste toiletten</w:t>
      </w:r>
      <w:r w:rsidR="003B50F3" w:rsidRPr="00BC74EF">
        <w:rPr>
          <w:lang w:val="nl-NL"/>
        </w:rPr>
        <w:t xml:space="preserve">, </w:t>
      </w:r>
      <w:r w:rsidRPr="00BC74EF">
        <w:rPr>
          <w:lang w:val="nl-NL"/>
        </w:rPr>
        <w:t>in de openbare en de particuliere sector;</w:t>
      </w:r>
    </w:p>
    <w:p w14:paraId="6715E00D" w14:textId="638B80EF" w:rsidR="00F6202B" w:rsidRPr="00BC74EF" w:rsidRDefault="002755DB">
      <w:pPr>
        <w:pStyle w:val="SingleTxtG"/>
        <w:ind w:firstLine="567"/>
        <w:rPr>
          <w:lang w:val="nl-NL"/>
        </w:rPr>
      </w:pPr>
      <w:r w:rsidRPr="00BC74EF">
        <w:rPr>
          <w:lang w:val="nl-NL"/>
        </w:rPr>
        <w:t xml:space="preserve">(g) </w:t>
      </w:r>
      <w:r w:rsidRPr="00BC74EF">
        <w:rPr>
          <w:lang w:val="nl-NL"/>
        </w:rPr>
        <w:tab/>
      </w:r>
      <w:r w:rsidR="008F4500">
        <w:rPr>
          <w:lang w:val="nl-NL"/>
        </w:rPr>
        <w:t>E</w:t>
      </w:r>
      <w:r w:rsidRPr="00BC74EF">
        <w:rPr>
          <w:lang w:val="nl-NL"/>
        </w:rPr>
        <w:t>rvoor zorgen dat personen met een handicap gelijke kansen op loopbaanontwikkeling genieten door middel van regelmatige evaluatie</w:t>
      </w:r>
      <w:r w:rsidR="00F142BA">
        <w:rPr>
          <w:lang w:val="nl-NL"/>
        </w:rPr>
        <w:t>gesprekken</w:t>
      </w:r>
      <w:r w:rsidRPr="00BC74EF">
        <w:rPr>
          <w:lang w:val="nl-NL"/>
        </w:rPr>
        <w:t xml:space="preserve"> met hun managers en door doelstellingen</w:t>
      </w:r>
      <w:r w:rsidR="00F142BA">
        <w:rPr>
          <w:lang w:val="nl-NL"/>
        </w:rPr>
        <w:t xml:space="preserve"> te bepalen</w:t>
      </w:r>
      <w:r w:rsidRPr="00BC74EF">
        <w:rPr>
          <w:lang w:val="nl-NL"/>
        </w:rPr>
        <w:t>, als onderdeel van een alomvattende strategie;</w:t>
      </w:r>
    </w:p>
    <w:p w14:paraId="4D414C1B" w14:textId="7F0A3684" w:rsidR="00F6202B" w:rsidRPr="00BC74EF" w:rsidRDefault="002755DB">
      <w:pPr>
        <w:pStyle w:val="SingleTxtG"/>
        <w:ind w:firstLine="567"/>
        <w:rPr>
          <w:lang w:val="nl-NL"/>
        </w:rPr>
      </w:pPr>
      <w:r w:rsidRPr="00BC74EF">
        <w:rPr>
          <w:lang w:val="nl-NL"/>
        </w:rPr>
        <w:t xml:space="preserve">(h) </w:t>
      </w:r>
      <w:r w:rsidRPr="00BC74EF">
        <w:rPr>
          <w:lang w:val="nl-NL"/>
        </w:rPr>
        <w:tab/>
      </w:r>
      <w:r w:rsidR="008F4500">
        <w:rPr>
          <w:lang w:val="nl-NL"/>
        </w:rPr>
        <w:t>Z</w:t>
      </w:r>
      <w:r w:rsidRPr="00BC74EF">
        <w:rPr>
          <w:lang w:val="nl-NL"/>
        </w:rPr>
        <w:t>orgen voor toegang tot opleiding, omscholing en onderwijs</w:t>
      </w:r>
      <w:r w:rsidR="00F142BA">
        <w:rPr>
          <w:lang w:val="nl-NL"/>
        </w:rPr>
        <w:t xml:space="preserve"> voor werknemers met een handicap</w:t>
      </w:r>
      <w:r w:rsidRPr="00BC74EF">
        <w:rPr>
          <w:lang w:val="nl-NL"/>
        </w:rPr>
        <w:t xml:space="preserve">, met inbegrip van beroepsopleiding en </w:t>
      </w:r>
      <w:r w:rsidR="00F142BA">
        <w:rPr>
          <w:lang w:val="nl-NL"/>
        </w:rPr>
        <w:t>de ontwikkeling van vaardigheden</w:t>
      </w:r>
      <w:r w:rsidRPr="00BC74EF">
        <w:rPr>
          <w:lang w:val="nl-NL"/>
        </w:rPr>
        <w:t xml:space="preserve">, en voorzien in opleiding </w:t>
      </w:r>
      <w:r w:rsidR="008F4500">
        <w:rPr>
          <w:lang w:val="nl-NL"/>
        </w:rPr>
        <w:t>over tewerkstelling van</w:t>
      </w:r>
      <w:r w:rsidRPr="00BC74EF">
        <w:rPr>
          <w:lang w:val="nl-NL"/>
        </w:rPr>
        <w:t xml:space="preserve"> personen met een handicap en redelijke aanpassingen voor werkgevers, </w:t>
      </w:r>
      <w:r w:rsidR="008F4500">
        <w:rPr>
          <w:lang w:val="nl-NL"/>
        </w:rPr>
        <w:t xml:space="preserve">de </w:t>
      </w:r>
      <w:r w:rsidR="00F142BA">
        <w:rPr>
          <w:lang w:val="nl-NL"/>
        </w:rPr>
        <w:t>leden van</w:t>
      </w:r>
      <w:r w:rsidRPr="00BC74EF">
        <w:rPr>
          <w:lang w:val="nl-NL"/>
        </w:rPr>
        <w:t xml:space="preserve"> organisaties </w:t>
      </w:r>
      <w:r w:rsidR="00F142BA">
        <w:rPr>
          <w:lang w:val="nl-NL"/>
        </w:rPr>
        <w:t xml:space="preserve">die </w:t>
      </w:r>
      <w:r w:rsidRPr="00BC74EF">
        <w:rPr>
          <w:lang w:val="nl-NL"/>
        </w:rPr>
        <w:t>werknemers en werkgevers</w:t>
      </w:r>
      <w:r w:rsidR="00F142BA">
        <w:rPr>
          <w:lang w:val="nl-NL"/>
        </w:rPr>
        <w:t xml:space="preserve"> vertegenwoordigen</w:t>
      </w:r>
      <w:r w:rsidRPr="00BC74EF">
        <w:rPr>
          <w:lang w:val="nl-NL"/>
        </w:rPr>
        <w:t xml:space="preserve">, </w:t>
      </w:r>
      <w:r w:rsidR="008F4500">
        <w:rPr>
          <w:lang w:val="nl-NL"/>
        </w:rPr>
        <w:t xml:space="preserve">de </w:t>
      </w:r>
      <w:r w:rsidRPr="00BC74EF">
        <w:rPr>
          <w:lang w:val="nl-NL"/>
        </w:rPr>
        <w:t>vak</w:t>
      </w:r>
      <w:r w:rsidR="00F142BA">
        <w:rPr>
          <w:lang w:val="nl-NL"/>
        </w:rPr>
        <w:t>bonden</w:t>
      </w:r>
      <w:r w:rsidRPr="00BC74EF">
        <w:rPr>
          <w:lang w:val="nl-NL"/>
        </w:rPr>
        <w:t xml:space="preserve"> en bevoegde instanties;</w:t>
      </w:r>
    </w:p>
    <w:p w14:paraId="5D118B89" w14:textId="2C91D9CC" w:rsidR="00F6202B" w:rsidRPr="00BC74EF" w:rsidRDefault="002755DB">
      <w:pPr>
        <w:pStyle w:val="SingleTxtG"/>
        <w:ind w:firstLine="567"/>
        <w:rPr>
          <w:lang w:val="nl-NL"/>
        </w:rPr>
      </w:pPr>
      <w:r w:rsidRPr="00BC74EF">
        <w:rPr>
          <w:lang w:val="nl-NL"/>
        </w:rPr>
        <w:t xml:space="preserve">(i) </w:t>
      </w:r>
      <w:r w:rsidRPr="00BC74EF">
        <w:rPr>
          <w:lang w:val="nl-NL"/>
        </w:rPr>
        <w:tab/>
      </w:r>
      <w:r w:rsidR="008F4500">
        <w:rPr>
          <w:lang w:val="nl-NL"/>
        </w:rPr>
        <w:t>W</w:t>
      </w:r>
      <w:r w:rsidRPr="00BC74EF">
        <w:rPr>
          <w:lang w:val="nl-NL"/>
        </w:rPr>
        <w:t xml:space="preserve">erken aan universeel toepasbare maatregelen </w:t>
      </w:r>
      <w:r w:rsidR="008F4500">
        <w:rPr>
          <w:lang w:val="nl-NL"/>
        </w:rPr>
        <w:t xml:space="preserve">inzake veiligheid en gezondheid op het werk </w:t>
      </w:r>
      <w:r w:rsidRPr="00BC74EF">
        <w:rPr>
          <w:lang w:val="nl-NL"/>
        </w:rPr>
        <w:t xml:space="preserve">voor personen met een handicap, waaronder voorschriften inzake veiligheid en gezondheid op het werk die niet-discriminerend </w:t>
      </w:r>
      <w:r w:rsidR="008F4500">
        <w:rPr>
          <w:lang w:val="nl-NL"/>
        </w:rPr>
        <w:t xml:space="preserve">zijn </w:t>
      </w:r>
      <w:r w:rsidRPr="00BC74EF">
        <w:rPr>
          <w:lang w:val="nl-NL"/>
        </w:rPr>
        <w:t xml:space="preserve">en inclusief </w:t>
      </w:r>
      <w:r w:rsidR="008F4500">
        <w:rPr>
          <w:lang w:val="nl-NL"/>
        </w:rPr>
        <w:t>v</w:t>
      </w:r>
      <w:r w:rsidRPr="00BC74EF">
        <w:rPr>
          <w:lang w:val="nl-NL"/>
        </w:rPr>
        <w:t>oor personen met een handicap;</w:t>
      </w:r>
    </w:p>
    <w:p w14:paraId="0522FDE9" w14:textId="0AF6C789" w:rsidR="00F6202B" w:rsidRPr="00BC74EF" w:rsidRDefault="002755DB">
      <w:pPr>
        <w:pStyle w:val="SingleTxtG"/>
        <w:ind w:firstLine="567"/>
        <w:rPr>
          <w:lang w:val="nl-NL"/>
        </w:rPr>
      </w:pPr>
      <w:r w:rsidRPr="00BC74EF">
        <w:rPr>
          <w:lang w:val="nl-NL"/>
        </w:rPr>
        <w:lastRenderedPageBreak/>
        <w:t>(j)</w:t>
      </w:r>
      <w:r w:rsidRPr="00BC74EF">
        <w:rPr>
          <w:lang w:val="nl-NL"/>
        </w:rPr>
        <w:tab/>
      </w:r>
      <w:r w:rsidR="008F4500">
        <w:rPr>
          <w:lang w:val="nl-NL"/>
        </w:rPr>
        <w:t>Erkenning van</w:t>
      </w:r>
      <w:r w:rsidRPr="00BC74EF">
        <w:rPr>
          <w:lang w:val="nl-NL"/>
        </w:rPr>
        <w:t xml:space="preserve"> het recht van personen met een handicap op toegang tot vakbonden</w:t>
      </w:r>
      <w:r w:rsidR="003C5AB4" w:rsidRPr="00BC74EF">
        <w:rPr>
          <w:lang w:val="nl-NL"/>
        </w:rPr>
        <w:t xml:space="preserve">. </w:t>
      </w:r>
    </w:p>
    <w:p w14:paraId="2A737FC7" w14:textId="33981910" w:rsidR="00F6202B" w:rsidRPr="00BC74EF" w:rsidRDefault="00431A14">
      <w:pPr>
        <w:pStyle w:val="SingleTxtG"/>
        <w:tabs>
          <w:tab w:val="clear" w:pos="2268"/>
        </w:tabs>
        <w:rPr>
          <w:lang w:val="nl-NL"/>
        </w:rPr>
      </w:pPr>
      <w:r w:rsidRPr="00BC74EF">
        <w:rPr>
          <w:lang w:val="nl-NL"/>
        </w:rPr>
        <w:t>6</w:t>
      </w:r>
      <w:r w:rsidR="00ED6C60">
        <w:rPr>
          <w:lang w:val="nl-NL"/>
        </w:rPr>
        <w:t>5</w:t>
      </w:r>
      <w:r w:rsidR="0006414B" w:rsidRPr="00BC74EF">
        <w:rPr>
          <w:lang w:val="nl-NL"/>
        </w:rPr>
        <w:t>.</w:t>
      </w:r>
      <w:r w:rsidR="0006414B" w:rsidRPr="00BC74EF">
        <w:rPr>
          <w:lang w:val="nl-NL"/>
        </w:rPr>
        <w:tab/>
      </w:r>
      <w:r w:rsidR="00D649C9" w:rsidRPr="00BC74EF">
        <w:rPr>
          <w:lang w:val="nl-NL"/>
        </w:rPr>
        <w:t xml:space="preserve">Het Comité voor economische, sociale en culturele rechten heeft ook </w:t>
      </w:r>
      <w:r w:rsidR="008F4500">
        <w:rPr>
          <w:lang w:val="nl-NL"/>
        </w:rPr>
        <w:t>Basis</w:t>
      </w:r>
      <w:r w:rsidR="00DF1E85" w:rsidRPr="00BC74EF">
        <w:rPr>
          <w:lang w:val="nl-NL"/>
        </w:rPr>
        <w:t xml:space="preserve">verplichtingen </w:t>
      </w:r>
      <w:r w:rsidR="00D649C9" w:rsidRPr="00BC74EF">
        <w:rPr>
          <w:lang w:val="nl-NL"/>
        </w:rPr>
        <w:t xml:space="preserve">vastgesteld </w:t>
      </w:r>
      <w:r w:rsidR="00DF1E85" w:rsidRPr="00BC74EF">
        <w:rPr>
          <w:lang w:val="nl-NL"/>
        </w:rPr>
        <w:t xml:space="preserve">met betrekking tot het recht op </w:t>
      </w:r>
      <w:r w:rsidR="008F4500">
        <w:rPr>
          <w:lang w:val="nl-NL"/>
        </w:rPr>
        <w:t>billijke</w:t>
      </w:r>
      <w:r w:rsidR="00DF1E85" w:rsidRPr="00BC74EF">
        <w:rPr>
          <w:lang w:val="nl-NL"/>
        </w:rPr>
        <w:t xml:space="preserve"> en gunstige arbeidsomstandigheden</w:t>
      </w:r>
      <w:r w:rsidR="002F127D" w:rsidRPr="00BC74EF">
        <w:rPr>
          <w:lang w:val="nl-NL"/>
        </w:rPr>
        <w:t>.</w:t>
      </w:r>
      <w:r w:rsidR="00DF1E85" w:rsidRPr="00BC74EF">
        <w:rPr>
          <w:rStyle w:val="Voetnootmarkering"/>
          <w:lang w:val="nl-NL"/>
        </w:rPr>
        <w:footnoteReference w:id="56"/>
      </w:r>
      <w:r w:rsidR="00DF1E85" w:rsidRPr="00BC74EF">
        <w:rPr>
          <w:lang w:val="nl-NL"/>
        </w:rPr>
        <w:t xml:space="preserve">  In het bijzonder:</w:t>
      </w:r>
    </w:p>
    <w:p w14:paraId="2BF9CE9C" w14:textId="5D4AEA94" w:rsidR="00F6202B" w:rsidRPr="00BC74EF" w:rsidRDefault="002755DB">
      <w:pPr>
        <w:pStyle w:val="SingleTxtG"/>
        <w:tabs>
          <w:tab w:val="clear" w:pos="2268"/>
        </w:tabs>
        <w:ind w:firstLine="567"/>
        <w:rPr>
          <w:lang w:val="nl-NL"/>
        </w:rPr>
      </w:pPr>
      <w:r w:rsidRPr="00BC74EF">
        <w:rPr>
          <w:lang w:val="nl-NL"/>
        </w:rPr>
        <w:tab/>
      </w:r>
      <w:r w:rsidR="00163F72" w:rsidRPr="00BC74EF">
        <w:rPr>
          <w:lang w:val="nl-NL"/>
        </w:rPr>
        <w:t>(a</w:t>
      </w:r>
      <w:r w:rsidRPr="00BC74EF">
        <w:rPr>
          <w:lang w:val="nl-NL"/>
        </w:rPr>
        <w:t>)</w:t>
      </w:r>
      <w:r w:rsidRPr="00BC74EF">
        <w:rPr>
          <w:lang w:val="nl-NL"/>
        </w:rPr>
        <w:tab/>
        <w:t xml:space="preserve">Een alomvattend systeem </w:t>
      </w:r>
      <w:r w:rsidR="008F4500">
        <w:rPr>
          <w:lang w:val="nl-NL"/>
        </w:rPr>
        <w:t>opzetten</w:t>
      </w:r>
      <w:r w:rsidRPr="00BC74EF">
        <w:rPr>
          <w:lang w:val="nl-NL"/>
        </w:rPr>
        <w:t xml:space="preserve"> ter bestrijding van discriminatie op grond van geslacht op het werk, ook wat betreft de </w:t>
      </w:r>
      <w:r w:rsidR="008F4500">
        <w:rPr>
          <w:lang w:val="nl-NL"/>
        </w:rPr>
        <w:t>ver</w:t>
      </w:r>
      <w:r w:rsidRPr="00BC74EF">
        <w:rPr>
          <w:lang w:val="nl-NL"/>
        </w:rPr>
        <w:t>loning;</w:t>
      </w:r>
    </w:p>
    <w:p w14:paraId="2977FDEE" w14:textId="7E2700DB" w:rsidR="00F6202B" w:rsidRPr="00BC74EF" w:rsidRDefault="002755DB">
      <w:pPr>
        <w:pStyle w:val="SingleTxtG"/>
        <w:ind w:firstLine="567"/>
        <w:rPr>
          <w:rFonts w:eastAsia="Calibri"/>
          <w:lang w:val="nl-NL" w:eastAsia="en-US"/>
        </w:rPr>
      </w:pPr>
      <w:r w:rsidRPr="00BC74EF">
        <w:rPr>
          <w:lang w:val="nl-NL"/>
        </w:rPr>
        <w:t>(</w:t>
      </w:r>
      <w:r w:rsidR="00163F72" w:rsidRPr="00BC74EF">
        <w:rPr>
          <w:lang w:val="nl-NL"/>
        </w:rPr>
        <w:t>b</w:t>
      </w:r>
      <w:r w:rsidRPr="00BC74EF">
        <w:rPr>
          <w:lang w:val="nl-NL"/>
        </w:rPr>
        <w:t>)</w:t>
      </w:r>
      <w:r w:rsidRPr="00BC74EF">
        <w:rPr>
          <w:lang w:val="nl-NL"/>
        </w:rPr>
        <w:tab/>
      </w:r>
      <w:r w:rsidR="00842F8D">
        <w:rPr>
          <w:rFonts w:eastAsia="Calibri"/>
          <w:lang w:val="nl-NL" w:eastAsia="en-US"/>
        </w:rPr>
        <w:t>Bij</w:t>
      </w:r>
      <w:r w:rsidRPr="00BC74EF">
        <w:rPr>
          <w:rFonts w:eastAsia="Calibri"/>
          <w:lang w:val="nl-NL" w:eastAsia="en-US"/>
        </w:rPr>
        <w:t xml:space="preserve"> wetgeving en in overleg met werknemers en werkgevers, hun representatieve organisaties en andere relevante partners, </w:t>
      </w:r>
      <w:r w:rsidR="00842F8D">
        <w:rPr>
          <w:rFonts w:eastAsia="Calibri"/>
          <w:lang w:val="nl-NL" w:eastAsia="en-US"/>
        </w:rPr>
        <w:t xml:space="preserve">niet-discriminerende minimumlonen bepalen waarvan niet kan worden afgeweken. Deze worden vastgesteld </w:t>
      </w:r>
      <w:r w:rsidRPr="00BC74EF">
        <w:rPr>
          <w:rFonts w:eastAsia="Calibri"/>
          <w:lang w:val="nl-NL" w:eastAsia="en-US"/>
        </w:rPr>
        <w:t xml:space="preserve">met inachtneming van relevante economische factoren en geïndexeerd op basis van de kosten van levensonderhoud, teneinde de werknemers en hun gezinnen een </w:t>
      </w:r>
      <w:r w:rsidR="00842F8D">
        <w:rPr>
          <w:rFonts w:eastAsia="Calibri"/>
          <w:lang w:val="nl-NL" w:eastAsia="en-US"/>
        </w:rPr>
        <w:t>behoorlijke levensstandaard</w:t>
      </w:r>
      <w:r w:rsidRPr="00BC74EF">
        <w:rPr>
          <w:rFonts w:eastAsia="Calibri"/>
          <w:lang w:val="nl-NL" w:eastAsia="en-US"/>
        </w:rPr>
        <w:t xml:space="preserve"> te </w:t>
      </w:r>
      <w:r w:rsidR="00842F8D">
        <w:rPr>
          <w:rFonts w:eastAsia="Calibri"/>
          <w:lang w:val="nl-NL" w:eastAsia="en-US"/>
        </w:rPr>
        <w:t>verzekeren</w:t>
      </w:r>
      <w:r w:rsidRPr="00BC74EF">
        <w:rPr>
          <w:rFonts w:eastAsia="Calibri"/>
          <w:lang w:val="nl-NL" w:eastAsia="en-US"/>
        </w:rPr>
        <w:t>;</w:t>
      </w:r>
    </w:p>
    <w:p w14:paraId="7B556355" w14:textId="78961BAC" w:rsidR="00F6202B" w:rsidRPr="00BC74EF" w:rsidRDefault="00163F72">
      <w:pPr>
        <w:pStyle w:val="SingleTxtG"/>
        <w:ind w:firstLine="567"/>
        <w:rPr>
          <w:rFonts w:eastAsia="Calibri"/>
          <w:lang w:val="nl-NL"/>
        </w:rPr>
      </w:pPr>
      <w:r w:rsidRPr="00BC74EF">
        <w:rPr>
          <w:rFonts w:eastAsia="Calibri"/>
          <w:lang w:val="nl-NL"/>
        </w:rPr>
        <w:t xml:space="preserve">(c) </w:t>
      </w:r>
      <w:r w:rsidRPr="00BC74EF">
        <w:rPr>
          <w:rFonts w:eastAsia="Calibri"/>
          <w:lang w:val="nl-NL"/>
        </w:rPr>
        <w:tab/>
        <w:t xml:space="preserve">intimidatie, inclusief seksuele intimidatie, op het werk definiëren en bij wet verbieden, </w:t>
      </w:r>
      <w:r w:rsidR="00842F8D">
        <w:rPr>
          <w:rFonts w:eastAsia="Calibri"/>
          <w:lang w:val="nl-NL"/>
        </w:rPr>
        <w:t xml:space="preserve">invoeren van </w:t>
      </w:r>
      <w:r w:rsidRPr="00BC74EF">
        <w:rPr>
          <w:rFonts w:eastAsia="Calibri"/>
          <w:lang w:val="nl-NL"/>
        </w:rPr>
        <w:t>klachtenprocedures en -mechanismen</w:t>
      </w:r>
      <w:r w:rsidR="00842F8D">
        <w:rPr>
          <w:rFonts w:eastAsia="Calibri"/>
          <w:lang w:val="nl-NL"/>
        </w:rPr>
        <w:t>,</w:t>
      </w:r>
      <w:r w:rsidRPr="00BC74EF">
        <w:rPr>
          <w:rFonts w:eastAsia="Calibri"/>
          <w:lang w:val="nl-NL"/>
        </w:rPr>
        <w:t xml:space="preserve"> en strafrechtelijke sancties voor seksuele intimidatie vaststellen;</w:t>
      </w:r>
    </w:p>
    <w:p w14:paraId="15D0A5D9" w14:textId="77777777" w:rsidR="00F6202B" w:rsidRPr="00BC74EF" w:rsidRDefault="00163F72">
      <w:pPr>
        <w:spacing w:after="120"/>
        <w:ind w:left="1134" w:right="1134" w:firstLine="567"/>
        <w:jc w:val="both"/>
        <w:rPr>
          <w:lang w:val="nl-NL"/>
        </w:rPr>
      </w:pPr>
      <w:r w:rsidRPr="00BC74EF">
        <w:rPr>
          <w:rFonts w:eastAsia="Calibri"/>
          <w:lang w:val="nl-NL"/>
        </w:rPr>
        <w:t xml:space="preserve">(d) </w:t>
      </w:r>
      <w:r w:rsidRPr="00BC74EF">
        <w:rPr>
          <w:rFonts w:eastAsia="Calibri"/>
          <w:lang w:val="nl-NL"/>
        </w:rPr>
        <w:tab/>
        <w:t>Minimumnormen invoeren en handhaven met betrekking tot rust, vrije tijd, redelijke beperking van de arbeidstijd, betaalde vakantie en feestdagen</w:t>
      </w:r>
      <w:r w:rsidR="003C5AB4" w:rsidRPr="00BC74EF">
        <w:rPr>
          <w:lang w:val="nl-NL"/>
        </w:rPr>
        <w:t xml:space="preserve">. </w:t>
      </w:r>
    </w:p>
    <w:p w14:paraId="007733F4" w14:textId="77777777" w:rsidR="00F6202B" w:rsidRPr="00BC74EF" w:rsidRDefault="002755DB">
      <w:pPr>
        <w:pStyle w:val="HChG"/>
        <w:rPr>
          <w:lang w:val="nl-NL"/>
        </w:rPr>
      </w:pPr>
      <w:r w:rsidRPr="00BC74EF">
        <w:rPr>
          <w:lang w:val="nl-NL"/>
        </w:rPr>
        <w:tab/>
      </w:r>
      <w:r w:rsidR="003C5AB4" w:rsidRPr="00BC74EF">
        <w:rPr>
          <w:lang w:val="nl-NL"/>
        </w:rPr>
        <w:t>V.</w:t>
      </w:r>
      <w:r w:rsidRPr="00BC74EF">
        <w:rPr>
          <w:lang w:val="nl-NL"/>
        </w:rPr>
        <w:tab/>
      </w:r>
      <w:r w:rsidR="003C5AB4" w:rsidRPr="00BC74EF">
        <w:rPr>
          <w:lang w:val="nl-NL"/>
        </w:rPr>
        <w:t>Verband met andere artikelen van het Verdrag</w:t>
      </w:r>
    </w:p>
    <w:p w14:paraId="7810BB01" w14:textId="25B6CA2E" w:rsidR="00F6202B" w:rsidRPr="00BC74EF" w:rsidRDefault="00431A14">
      <w:pPr>
        <w:pStyle w:val="SingleTxtG"/>
        <w:tabs>
          <w:tab w:val="clear" w:pos="2268"/>
        </w:tabs>
        <w:rPr>
          <w:lang w:val="nl-NL"/>
        </w:rPr>
      </w:pPr>
      <w:r w:rsidRPr="00BC74EF">
        <w:rPr>
          <w:lang w:val="nl-NL"/>
        </w:rPr>
        <w:t>6</w:t>
      </w:r>
      <w:r w:rsidR="00ED6C60">
        <w:rPr>
          <w:lang w:val="nl-NL"/>
        </w:rPr>
        <w:t>6</w:t>
      </w:r>
      <w:r w:rsidR="0006414B" w:rsidRPr="00BC74EF">
        <w:rPr>
          <w:lang w:val="nl-NL"/>
        </w:rPr>
        <w:t>.</w:t>
      </w:r>
      <w:r w:rsidR="0006414B" w:rsidRPr="00BC74EF">
        <w:rPr>
          <w:lang w:val="nl-NL"/>
        </w:rPr>
        <w:tab/>
      </w:r>
      <w:r w:rsidR="003C5AB4" w:rsidRPr="00BC74EF">
        <w:rPr>
          <w:lang w:val="nl-NL"/>
        </w:rPr>
        <w:t xml:space="preserve">Artikel 5 </w:t>
      </w:r>
      <w:r w:rsidR="008D4167" w:rsidRPr="00BC74EF">
        <w:rPr>
          <w:lang w:val="nl-NL"/>
        </w:rPr>
        <w:t xml:space="preserve">van het Verdrag, </w:t>
      </w:r>
      <w:r w:rsidR="003C5AB4" w:rsidRPr="00BC74EF">
        <w:rPr>
          <w:lang w:val="nl-NL"/>
        </w:rPr>
        <w:t>betreffende gelijkheid en non-discriminatie</w:t>
      </w:r>
      <w:r w:rsidR="008D4167" w:rsidRPr="00BC74EF">
        <w:rPr>
          <w:lang w:val="nl-NL"/>
        </w:rPr>
        <w:t xml:space="preserve">, </w:t>
      </w:r>
      <w:r w:rsidR="003C5AB4" w:rsidRPr="00BC74EF">
        <w:rPr>
          <w:lang w:val="nl-NL"/>
        </w:rPr>
        <w:t xml:space="preserve">vereist dat de </w:t>
      </w:r>
      <w:r w:rsidR="003001A8">
        <w:rPr>
          <w:lang w:val="nl-NL"/>
        </w:rPr>
        <w:t>Staten die Partij</w:t>
      </w:r>
      <w:r w:rsidR="003C5AB4" w:rsidRPr="00BC74EF">
        <w:rPr>
          <w:lang w:val="nl-NL"/>
        </w:rPr>
        <w:t xml:space="preserve"> zijn </w:t>
      </w:r>
      <w:r w:rsidR="002B3C11" w:rsidRPr="00BC74EF">
        <w:rPr>
          <w:lang w:val="nl-NL"/>
        </w:rPr>
        <w:t xml:space="preserve">inclusieve </w:t>
      </w:r>
      <w:r w:rsidR="003C5AB4" w:rsidRPr="00BC74EF">
        <w:rPr>
          <w:lang w:val="nl-NL"/>
        </w:rPr>
        <w:t xml:space="preserve">gelijkheid </w:t>
      </w:r>
      <w:r w:rsidR="00DD0C5E" w:rsidRPr="00BC74EF">
        <w:rPr>
          <w:lang w:val="nl-NL"/>
        </w:rPr>
        <w:t xml:space="preserve">bevorderen </w:t>
      </w:r>
      <w:r w:rsidR="003C5AB4" w:rsidRPr="00BC74EF">
        <w:rPr>
          <w:lang w:val="nl-NL"/>
        </w:rPr>
        <w:t>en</w:t>
      </w:r>
      <w:r w:rsidR="00842F8D">
        <w:rPr>
          <w:lang w:val="nl-NL"/>
        </w:rPr>
        <w:t xml:space="preserve"> alle vormen van</w:t>
      </w:r>
      <w:r w:rsidR="003C5AB4" w:rsidRPr="00BC74EF">
        <w:rPr>
          <w:lang w:val="nl-NL"/>
        </w:rPr>
        <w:t xml:space="preserve"> discriminatie </w:t>
      </w:r>
      <w:r w:rsidR="00842F8D">
        <w:rPr>
          <w:lang w:val="nl-NL"/>
        </w:rPr>
        <w:t>–</w:t>
      </w:r>
      <w:r w:rsidR="003C5AB4" w:rsidRPr="00BC74EF">
        <w:rPr>
          <w:lang w:val="nl-NL"/>
        </w:rPr>
        <w:t xml:space="preserve"> direct</w:t>
      </w:r>
      <w:r w:rsidR="00842F8D">
        <w:rPr>
          <w:lang w:val="nl-NL"/>
        </w:rPr>
        <w:t>e en indirecte discriminatie, weigering</w:t>
      </w:r>
      <w:r w:rsidR="00932591" w:rsidRPr="00BC74EF">
        <w:rPr>
          <w:lang w:val="nl-NL"/>
        </w:rPr>
        <w:t xml:space="preserve"> van redelijke aanpassingen, intimidatie </w:t>
      </w:r>
      <w:r w:rsidR="00842F8D">
        <w:rPr>
          <w:lang w:val="nl-NL"/>
        </w:rPr>
        <w:t>–</w:t>
      </w:r>
      <w:r w:rsidR="00932591" w:rsidRPr="00BC74EF">
        <w:rPr>
          <w:lang w:val="nl-NL"/>
        </w:rPr>
        <w:t xml:space="preserve"> op </w:t>
      </w:r>
      <w:r w:rsidR="003C5AB4" w:rsidRPr="00BC74EF">
        <w:rPr>
          <w:lang w:val="nl-NL"/>
        </w:rPr>
        <w:t xml:space="preserve">alle gebieden van </w:t>
      </w:r>
      <w:r w:rsidR="00842F8D">
        <w:rPr>
          <w:lang w:val="nl-NL"/>
        </w:rPr>
        <w:t>arbeid</w:t>
      </w:r>
      <w:r w:rsidR="003C5AB4" w:rsidRPr="00BC74EF">
        <w:rPr>
          <w:lang w:val="nl-NL"/>
        </w:rPr>
        <w:t xml:space="preserve">, werkgelegenheid en de arbeidscyclus uitbannen. </w:t>
      </w:r>
      <w:r w:rsidR="00842F8D">
        <w:rPr>
          <w:lang w:val="nl-NL"/>
        </w:rPr>
        <w:t>V</w:t>
      </w:r>
      <w:r w:rsidR="00D338E0" w:rsidRPr="00BC74EF">
        <w:rPr>
          <w:lang w:val="nl-NL"/>
        </w:rPr>
        <w:t>rouwen</w:t>
      </w:r>
      <w:r w:rsidR="00842F8D">
        <w:rPr>
          <w:lang w:val="nl-NL"/>
        </w:rPr>
        <w:t xml:space="preserve"> met een handicap</w:t>
      </w:r>
      <w:r w:rsidR="00D338E0" w:rsidRPr="00BC74EF">
        <w:rPr>
          <w:lang w:val="nl-NL"/>
        </w:rPr>
        <w:t xml:space="preserve">, </w:t>
      </w:r>
      <w:r w:rsidR="00FA0A5A" w:rsidRPr="00BC74EF">
        <w:rPr>
          <w:lang w:val="nl-NL"/>
        </w:rPr>
        <w:t>personen</w:t>
      </w:r>
      <w:r w:rsidR="00D338E0" w:rsidRPr="00BC74EF">
        <w:rPr>
          <w:lang w:val="nl-NL"/>
        </w:rPr>
        <w:t xml:space="preserve"> met een </w:t>
      </w:r>
      <w:r w:rsidR="00842F8D">
        <w:rPr>
          <w:lang w:val="nl-NL"/>
        </w:rPr>
        <w:t>handicap die niet in de gevestigde gendercategorieën passen</w:t>
      </w:r>
      <w:r w:rsidR="00D338E0" w:rsidRPr="00BC74EF">
        <w:rPr>
          <w:lang w:val="nl-NL"/>
        </w:rPr>
        <w:t xml:space="preserve">, ouderen en jongeren </w:t>
      </w:r>
      <w:r w:rsidR="006952E4">
        <w:rPr>
          <w:lang w:val="nl-NL"/>
        </w:rPr>
        <w:t xml:space="preserve">met een handicap worden echter geconfronteerd met een reeks belemmering die verband houden met  </w:t>
      </w:r>
      <w:r w:rsidR="004A46BA" w:rsidRPr="00BC74EF">
        <w:rPr>
          <w:lang w:val="nl-NL"/>
        </w:rPr>
        <w:t>sekse, gender, leeftijd</w:t>
      </w:r>
      <w:r w:rsidR="006952E4">
        <w:rPr>
          <w:lang w:val="nl-NL"/>
        </w:rPr>
        <w:t xml:space="preserve"> en handicap en</w:t>
      </w:r>
      <w:r w:rsidR="004A46BA" w:rsidRPr="00BC74EF">
        <w:rPr>
          <w:lang w:val="nl-NL"/>
        </w:rPr>
        <w:t xml:space="preserve"> hun kansen op </w:t>
      </w:r>
      <w:r w:rsidR="006952E4">
        <w:rPr>
          <w:lang w:val="nl-NL"/>
        </w:rPr>
        <w:t>te</w:t>
      </w:r>
      <w:r w:rsidR="004A46BA" w:rsidRPr="00BC74EF">
        <w:rPr>
          <w:lang w:val="nl-NL"/>
        </w:rPr>
        <w:t>werk</w:t>
      </w:r>
      <w:r w:rsidR="006952E4">
        <w:rPr>
          <w:lang w:val="nl-NL"/>
        </w:rPr>
        <w:t>stelling</w:t>
      </w:r>
      <w:r w:rsidR="004A46BA" w:rsidRPr="00BC74EF">
        <w:rPr>
          <w:lang w:val="nl-NL"/>
        </w:rPr>
        <w:t xml:space="preserve"> beperken, hun recht op gelijke </w:t>
      </w:r>
      <w:r w:rsidR="006952E4">
        <w:rPr>
          <w:lang w:val="nl-NL"/>
        </w:rPr>
        <w:t>v</w:t>
      </w:r>
      <w:r w:rsidR="004A46BA" w:rsidRPr="00BC74EF">
        <w:rPr>
          <w:lang w:val="nl-NL"/>
        </w:rPr>
        <w:t>e</w:t>
      </w:r>
      <w:r w:rsidR="006952E4">
        <w:rPr>
          <w:lang w:val="nl-NL"/>
        </w:rPr>
        <w:t>r</w:t>
      </w:r>
      <w:r w:rsidR="004A46BA" w:rsidRPr="00BC74EF">
        <w:rPr>
          <w:lang w:val="nl-NL"/>
        </w:rPr>
        <w:t>loning beïnvloeden en het risico op geweld en intimidatie op de werkplek vergroten.</w:t>
      </w:r>
    </w:p>
    <w:p w14:paraId="34E30B61" w14:textId="2231B50A" w:rsidR="00F6202B" w:rsidRPr="00BC74EF" w:rsidRDefault="00431A14">
      <w:pPr>
        <w:pStyle w:val="SingleTxtG"/>
        <w:tabs>
          <w:tab w:val="clear" w:pos="2268"/>
        </w:tabs>
        <w:rPr>
          <w:lang w:val="nl-NL"/>
        </w:rPr>
      </w:pPr>
      <w:r w:rsidRPr="00BC74EF">
        <w:rPr>
          <w:lang w:val="nl-NL"/>
        </w:rPr>
        <w:t>6</w:t>
      </w:r>
      <w:r w:rsidR="00ED6C60">
        <w:rPr>
          <w:lang w:val="nl-NL"/>
        </w:rPr>
        <w:t>7</w:t>
      </w:r>
      <w:r w:rsidR="0006414B" w:rsidRPr="00BC74EF">
        <w:rPr>
          <w:lang w:val="nl-NL"/>
        </w:rPr>
        <w:t>.</w:t>
      </w:r>
      <w:r w:rsidR="0006414B" w:rsidRPr="00BC74EF">
        <w:rPr>
          <w:lang w:val="nl-NL"/>
        </w:rPr>
        <w:tab/>
      </w:r>
      <w:r w:rsidR="003C5AB4" w:rsidRPr="00BC74EF">
        <w:rPr>
          <w:lang w:val="nl-NL"/>
        </w:rPr>
        <w:t xml:space="preserve">Vrouwen met een handicap </w:t>
      </w:r>
      <w:r w:rsidR="00A4377C" w:rsidRPr="00BC74EF">
        <w:rPr>
          <w:lang w:val="nl-NL"/>
        </w:rPr>
        <w:t xml:space="preserve">(art. 6) </w:t>
      </w:r>
      <w:r w:rsidR="006952E4">
        <w:rPr>
          <w:lang w:val="nl-NL"/>
        </w:rPr>
        <w:t>worden gedurende de hele arbeidscyclus geconfronteerd met</w:t>
      </w:r>
      <w:r w:rsidR="004E66AA" w:rsidRPr="00BC74EF">
        <w:rPr>
          <w:lang w:val="nl-NL"/>
        </w:rPr>
        <w:t xml:space="preserve"> </w:t>
      </w:r>
      <w:r w:rsidR="008823D9" w:rsidRPr="00BC74EF">
        <w:rPr>
          <w:lang w:val="nl-NL"/>
        </w:rPr>
        <w:t xml:space="preserve">meervoudige </w:t>
      </w:r>
      <w:r w:rsidR="00932591" w:rsidRPr="00BC74EF">
        <w:rPr>
          <w:lang w:val="nl-NL"/>
        </w:rPr>
        <w:t xml:space="preserve">en intersectionele </w:t>
      </w:r>
      <w:r w:rsidR="008823D9" w:rsidRPr="00BC74EF">
        <w:rPr>
          <w:lang w:val="nl-NL"/>
        </w:rPr>
        <w:t xml:space="preserve">discriminatie </w:t>
      </w:r>
      <w:r w:rsidR="003C5AB4" w:rsidRPr="00BC74EF">
        <w:rPr>
          <w:lang w:val="nl-NL"/>
        </w:rPr>
        <w:t>op het werk</w:t>
      </w:r>
      <w:r w:rsidR="006952E4">
        <w:rPr>
          <w:lang w:val="nl-NL"/>
        </w:rPr>
        <w:t xml:space="preserve"> en op de arbeidsmarkt</w:t>
      </w:r>
      <w:r w:rsidR="003C5AB4" w:rsidRPr="00BC74EF">
        <w:rPr>
          <w:lang w:val="nl-NL"/>
        </w:rPr>
        <w:t xml:space="preserve">, hetgeen leidt </w:t>
      </w:r>
      <w:r w:rsidR="00537874" w:rsidRPr="00BC74EF">
        <w:rPr>
          <w:lang w:val="nl-NL"/>
        </w:rPr>
        <w:t xml:space="preserve">tot belemmeringen voor een gelijke deelname aan </w:t>
      </w:r>
      <w:r w:rsidR="006952E4">
        <w:rPr>
          <w:lang w:val="nl-NL"/>
        </w:rPr>
        <w:t xml:space="preserve">de </w:t>
      </w:r>
      <w:r w:rsidR="00537874" w:rsidRPr="00BC74EF">
        <w:rPr>
          <w:lang w:val="nl-NL"/>
        </w:rPr>
        <w:t>arbeids</w:t>
      </w:r>
      <w:r w:rsidR="006952E4">
        <w:rPr>
          <w:lang w:val="nl-NL"/>
        </w:rPr>
        <w:t>wereld</w:t>
      </w:r>
      <w:r w:rsidR="003C5AB4" w:rsidRPr="00BC74EF">
        <w:rPr>
          <w:lang w:val="nl-NL"/>
        </w:rPr>
        <w:t xml:space="preserve">. </w:t>
      </w:r>
      <w:r w:rsidR="00537874" w:rsidRPr="00BC74EF">
        <w:rPr>
          <w:lang w:val="nl-NL"/>
        </w:rPr>
        <w:t xml:space="preserve">Deze belemmeringen omvatten </w:t>
      </w:r>
      <w:r w:rsidR="001F298D" w:rsidRPr="00BC74EF">
        <w:rPr>
          <w:lang w:val="nl-NL"/>
        </w:rPr>
        <w:t>seksuele intimidatie</w:t>
      </w:r>
      <w:r w:rsidR="006952E4">
        <w:rPr>
          <w:lang w:val="nl-NL"/>
        </w:rPr>
        <w:t xml:space="preserve"> en</w:t>
      </w:r>
      <w:r w:rsidR="001F298D" w:rsidRPr="00BC74EF">
        <w:rPr>
          <w:lang w:val="nl-NL"/>
        </w:rPr>
        <w:t xml:space="preserve"> ongelijke </w:t>
      </w:r>
      <w:r w:rsidR="006952E4">
        <w:rPr>
          <w:lang w:val="nl-NL"/>
        </w:rPr>
        <w:t>ver</w:t>
      </w:r>
      <w:r w:rsidR="001F298D" w:rsidRPr="00BC74EF">
        <w:rPr>
          <w:lang w:val="nl-NL"/>
        </w:rPr>
        <w:t xml:space="preserve">loning voor </w:t>
      </w:r>
      <w:r w:rsidR="006952E4">
        <w:rPr>
          <w:lang w:val="nl-NL"/>
        </w:rPr>
        <w:t xml:space="preserve">gelijkwaardig </w:t>
      </w:r>
      <w:r w:rsidR="001F298D" w:rsidRPr="00BC74EF">
        <w:rPr>
          <w:lang w:val="nl-NL"/>
        </w:rPr>
        <w:t>werk</w:t>
      </w:r>
      <w:r w:rsidR="006952E4">
        <w:rPr>
          <w:lang w:val="nl-NL"/>
        </w:rPr>
        <w:t xml:space="preserve">. Zij hebben </w:t>
      </w:r>
      <w:r w:rsidR="001F298D" w:rsidRPr="00BC74EF">
        <w:rPr>
          <w:lang w:val="nl-NL"/>
        </w:rPr>
        <w:t xml:space="preserve">minder </w:t>
      </w:r>
      <w:r w:rsidR="006952E4">
        <w:rPr>
          <w:lang w:val="nl-NL"/>
        </w:rPr>
        <w:t>loopbaan</w:t>
      </w:r>
      <w:r w:rsidR="001F298D" w:rsidRPr="00BC74EF">
        <w:rPr>
          <w:lang w:val="nl-NL"/>
        </w:rPr>
        <w:t>mogelijkheden</w:t>
      </w:r>
      <w:r w:rsidR="006952E4">
        <w:rPr>
          <w:lang w:val="nl-NL"/>
        </w:rPr>
        <w:t xml:space="preserve"> en hebben geen toegang tot bepaalde jobs door een </w:t>
      </w:r>
      <w:r w:rsidR="001F298D" w:rsidRPr="00BC74EF">
        <w:rPr>
          <w:lang w:val="nl-NL"/>
        </w:rPr>
        <w:t xml:space="preserve">minder prestigieuze </w:t>
      </w:r>
      <w:r w:rsidR="00727BDA">
        <w:rPr>
          <w:lang w:val="nl-NL"/>
        </w:rPr>
        <w:t>loopbaan</w:t>
      </w:r>
      <w:r w:rsidR="006952E4">
        <w:rPr>
          <w:lang w:val="nl-NL"/>
        </w:rPr>
        <w:t xml:space="preserve">. Bovendien </w:t>
      </w:r>
      <w:r w:rsidR="00727BDA">
        <w:rPr>
          <w:lang w:val="nl-NL"/>
        </w:rPr>
        <w:t xml:space="preserve">zijn ze verstoken van </w:t>
      </w:r>
      <w:r w:rsidR="001F298D" w:rsidRPr="00BC74EF">
        <w:rPr>
          <w:lang w:val="nl-NL"/>
        </w:rPr>
        <w:t xml:space="preserve">rechtsmiddelen vanwege discriminerende houdingen die leiden tot afwijzing van hun </w:t>
      </w:r>
      <w:r w:rsidR="00727BDA">
        <w:rPr>
          <w:lang w:val="nl-NL"/>
        </w:rPr>
        <w:t>klachten</w:t>
      </w:r>
      <w:r w:rsidR="001F298D" w:rsidRPr="00BC74EF">
        <w:rPr>
          <w:lang w:val="nl-NL"/>
        </w:rPr>
        <w:t xml:space="preserve">, en </w:t>
      </w:r>
      <w:r w:rsidR="00727BDA">
        <w:rPr>
          <w:lang w:val="nl-NL"/>
        </w:rPr>
        <w:t xml:space="preserve">moeten zij het hoofd bieden aan </w:t>
      </w:r>
      <w:r w:rsidR="001F298D" w:rsidRPr="00BC74EF">
        <w:rPr>
          <w:lang w:val="nl-NL"/>
        </w:rPr>
        <w:t>fysieke, informatie- en communicatiebelemmeringen.</w:t>
      </w:r>
      <w:r w:rsidR="001F298D" w:rsidRPr="00BC74EF">
        <w:rPr>
          <w:vertAlign w:val="superscript"/>
          <w:lang w:val="nl-NL"/>
        </w:rPr>
        <w:footnoteReference w:id="57"/>
      </w:r>
      <w:r w:rsidR="005A6CDA" w:rsidRPr="00BC74EF">
        <w:rPr>
          <w:lang w:val="nl-NL"/>
        </w:rPr>
        <w:t xml:space="preserve"> Voorts </w:t>
      </w:r>
      <w:r w:rsidR="00727BDA">
        <w:rPr>
          <w:lang w:val="nl-NL"/>
        </w:rPr>
        <w:t xml:space="preserve">zijn </w:t>
      </w:r>
      <w:r w:rsidR="005A6CDA" w:rsidRPr="00BC74EF">
        <w:rPr>
          <w:lang w:val="nl-NL"/>
        </w:rPr>
        <w:t xml:space="preserve">vrouwen met een handicap </w:t>
      </w:r>
      <w:r w:rsidR="00727BDA">
        <w:rPr>
          <w:lang w:val="nl-NL"/>
        </w:rPr>
        <w:t>kwetsbaar voor</w:t>
      </w:r>
      <w:r w:rsidR="005A6CDA" w:rsidRPr="00BC74EF">
        <w:rPr>
          <w:lang w:val="nl-NL"/>
        </w:rPr>
        <w:t xml:space="preserve"> uitbuiting in de informele economie en onbetaald werk, </w:t>
      </w:r>
      <w:r w:rsidR="00727BDA">
        <w:rPr>
          <w:lang w:val="nl-NL"/>
        </w:rPr>
        <w:t xml:space="preserve">waardoor </w:t>
      </w:r>
      <w:r w:rsidR="005A6CDA" w:rsidRPr="00BC74EF">
        <w:rPr>
          <w:lang w:val="nl-NL"/>
        </w:rPr>
        <w:t xml:space="preserve">de ongelijkheid op gebieden als </w:t>
      </w:r>
      <w:r w:rsidR="00727BDA">
        <w:rPr>
          <w:lang w:val="nl-NL"/>
        </w:rPr>
        <w:t>ver</w:t>
      </w:r>
      <w:r w:rsidR="005A6CDA" w:rsidRPr="00BC74EF">
        <w:rPr>
          <w:lang w:val="nl-NL"/>
        </w:rPr>
        <w:t>loning, gezondheid en veiligheid, rust, vrije tijd en betaald verlof</w:t>
      </w:r>
      <w:r w:rsidR="00721B3F" w:rsidRPr="00BC74EF">
        <w:rPr>
          <w:lang w:val="nl-NL"/>
        </w:rPr>
        <w:t xml:space="preserve">, </w:t>
      </w:r>
      <w:r w:rsidR="00727BDA">
        <w:rPr>
          <w:lang w:val="nl-NL"/>
        </w:rPr>
        <w:t>waaronder</w:t>
      </w:r>
      <w:r w:rsidR="00721B3F" w:rsidRPr="00BC74EF">
        <w:rPr>
          <w:lang w:val="nl-NL"/>
        </w:rPr>
        <w:t xml:space="preserve"> zwangerschapsverlof, </w:t>
      </w:r>
      <w:r w:rsidR="005A6CDA" w:rsidRPr="00BC74EF">
        <w:rPr>
          <w:lang w:val="nl-NL"/>
        </w:rPr>
        <w:t xml:space="preserve">nog </w:t>
      </w:r>
      <w:r w:rsidR="00727BDA">
        <w:rPr>
          <w:lang w:val="nl-NL"/>
        </w:rPr>
        <w:t>groter wordt.</w:t>
      </w:r>
      <w:r w:rsidR="005A6CDA" w:rsidRPr="00BC74EF">
        <w:rPr>
          <w:lang w:val="nl-NL"/>
        </w:rPr>
        <w:t xml:space="preserve"> </w:t>
      </w:r>
    </w:p>
    <w:p w14:paraId="05384A8E" w14:textId="23791091" w:rsidR="00F6202B" w:rsidRPr="00BC74EF" w:rsidRDefault="00431A14">
      <w:pPr>
        <w:pStyle w:val="SingleTxtG"/>
        <w:tabs>
          <w:tab w:val="clear" w:pos="2268"/>
        </w:tabs>
        <w:rPr>
          <w:lang w:val="nl-NL"/>
        </w:rPr>
      </w:pPr>
      <w:r w:rsidRPr="00BC74EF">
        <w:rPr>
          <w:lang w:val="nl-NL"/>
        </w:rPr>
        <w:t>6</w:t>
      </w:r>
      <w:r w:rsidR="00ED6C60">
        <w:rPr>
          <w:lang w:val="nl-NL"/>
        </w:rPr>
        <w:t>8</w:t>
      </w:r>
      <w:r w:rsidR="00A4377C" w:rsidRPr="00BC74EF">
        <w:rPr>
          <w:lang w:val="nl-NL"/>
        </w:rPr>
        <w:t>.</w:t>
      </w:r>
      <w:r w:rsidR="00A4377C" w:rsidRPr="00BC74EF">
        <w:rPr>
          <w:lang w:val="nl-NL"/>
        </w:rPr>
        <w:tab/>
      </w:r>
      <w:r w:rsidR="00FC66A5" w:rsidRPr="00BC74EF">
        <w:rPr>
          <w:lang w:val="nl-NL"/>
        </w:rPr>
        <w:t>Het aantal kinderen met een handicap (art. 7) wereldwijd</w:t>
      </w:r>
      <w:r w:rsidR="00727BDA">
        <w:rPr>
          <w:lang w:val="nl-NL"/>
        </w:rPr>
        <w:t xml:space="preserve"> wordt </w:t>
      </w:r>
      <w:r w:rsidR="00FC66A5" w:rsidRPr="00BC74EF">
        <w:rPr>
          <w:lang w:val="nl-NL"/>
        </w:rPr>
        <w:t xml:space="preserve"> geschat op bijna 240 miljoen.  </w:t>
      </w:r>
      <w:r w:rsidR="00E97FEC" w:rsidRPr="00BC74EF">
        <w:rPr>
          <w:lang w:val="nl-NL"/>
        </w:rPr>
        <w:t xml:space="preserve">Miljoenen kinderen </w:t>
      </w:r>
      <w:r w:rsidR="009C1FD9" w:rsidRPr="00BC74EF">
        <w:rPr>
          <w:lang w:val="nl-NL"/>
        </w:rPr>
        <w:t xml:space="preserve">met en zonder handicap </w:t>
      </w:r>
      <w:r w:rsidR="00E97FEC" w:rsidRPr="00BC74EF">
        <w:rPr>
          <w:lang w:val="nl-NL"/>
        </w:rPr>
        <w:t>werken gedurende het grootste deel van hun kindertijd als huishoudelijke hulp of in ongevaarlijke beroepen bij hun familie zonder voldoende rust of onderwijs.</w:t>
      </w:r>
      <w:r w:rsidR="00E97FEC" w:rsidRPr="00BC74EF">
        <w:rPr>
          <w:rStyle w:val="Voetnootmarkering"/>
          <w:lang w:val="nl-NL"/>
        </w:rPr>
        <w:footnoteReference w:id="58"/>
      </w:r>
      <w:r w:rsidR="009C1FD9" w:rsidRPr="00BC74EF">
        <w:rPr>
          <w:lang w:val="nl-NL"/>
        </w:rPr>
        <w:t xml:space="preserve"> Verder lopen </w:t>
      </w:r>
      <w:r w:rsidR="00E97FEC" w:rsidRPr="00BC74EF">
        <w:rPr>
          <w:lang w:val="nl-NL"/>
        </w:rPr>
        <w:t xml:space="preserve">kinderen en jongeren met </w:t>
      </w:r>
      <w:r w:rsidR="009C1FD9" w:rsidRPr="00BC74EF">
        <w:rPr>
          <w:lang w:val="nl-NL"/>
        </w:rPr>
        <w:t xml:space="preserve">een handicap een </w:t>
      </w:r>
      <w:r w:rsidR="00E97FEC" w:rsidRPr="00BC74EF">
        <w:rPr>
          <w:lang w:val="nl-NL"/>
        </w:rPr>
        <w:t xml:space="preserve">groter risico op </w:t>
      </w:r>
      <w:r w:rsidR="00727BDA">
        <w:rPr>
          <w:lang w:val="nl-NL"/>
        </w:rPr>
        <w:t>om in gevaarlijke omstandigheden te werken dan</w:t>
      </w:r>
      <w:r w:rsidR="00E97FEC" w:rsidRPr="00BC74EF">
        <w:rPr>
          <w:lang w:val="nl-NL"/>
        </w:rPr>
        <w:t xml:space="preserve"> kinderen zonder handicap. </w:t>
      </w:r>
    </w:p>
    <w:p w14:paraId="5B90D38B" w14:textId="3FC2FD65" w:rsidR="00F6202B" w:rsidRPr="003B7D30" w:rsidRDefault="00431A14">
      <w:pPr>
        <w:pStyle w:val="SingleTxtG"/>
        <w:tabs>
          <w:tab w:val="clear" w:pos="2268"/>
        </w:tabs>
        <w:rPr>
          <w:strike/>
          <w:lang w:val="nl-NL"/>
        </w:rPr>
      </w:pPr>
      <w:r w:rsidRPr="00BC74EF">
        <w:rPr>
          <w:lang w:val="nl-NL"/>
        </w:rPr>
        <w:t>6</w:t>
      </w:r>
      <w:r w:rsidR="00ED6C60">
        <w:rPr>
          <w:lang w:val="nl-NL"/>
        </w:rPr>
        <w:t>9</w:t>
      </w:r>
      <w:r w:rsidR="0006414B" w:rsidRPr="00BC74EF">
        <w:rPr>
          <w:lang w:val="nl-NL"/>
        </w:rPr>
        <w:t>.</w:t>
      </w:r>
      <w:r w:rsidR="0006414B" w:rsidRPr="00BC74EF">
        <w:rPr>
          <w:lang w:val="nl-NL"/>
        </w:rPr>
        <w:tab/>
      </w:r>
      <w:r w:rsidR="00FA41DB" w:rsidRPr="00BC74EF">
        <w:rPr>
          <w:lang w:val="nl-NL"/>
        </w:rPr>
        <w:t xml:space="preserve">Bewustmakingscampagnes </w:t>
      </w:r>
      <w:r w:rsidR="00B868CB" w:rsidRPr="00BC74EF">
        <w:rPr>
          <w:lang w:val="nl-NL"/>
        </w:rPr>
        <w:t>(art</w:t>
      </w:r>
      <w:r w:rsidR="004A46BA" w:rsidRPr="00BC74EF">
        <w:rPr>
          <w:lang w:val="nl-NL"/>
        </w:rPr>
        <w:t xml:space="preserve">. </w:t>
      </w:r>
      <w:r w:rsidR="00B868CB" w:rsidRPr="00BC74EF">
        <w:rPr>
          <w:lang w:val="nl-NL"/>
        </w:rPr>
        <w:t xml:space="preserve">8) </w:t>
      </w:r>
      <w:r w:rsidR="00727BDA">
        <w:rPr>
          <w:lang w:val="nl-NL"/>
        </w:rPr>
        <w:t>over personen met een handicap en hun rechten moeten in</w:t>
      </w:r>
      <w:r w:rsidR="00FA41DB" w:rsidRPr="00BC74EF">
        <w:rPr>
          <w:lang w:val="nl-NL"/>
        </w:rPr>
        <w:t xml:space="preserve"> </w:t>
      </w:r>
      <w:r w:rsidR="00530971" w:rsidRPr="00BC74EF">
        <w:rPr>
          <w:lang w:val="nl-NL"/>
        </w:rPr>
        <w:t xml:space="preserve">de </w:t>
      </w:r>
      <w:r w:rsidR="00FA41DB" w:rsidRPr="00BC74EF">
        <w:rPr>
          <w:lang w:val="nl-NL"/>
        </w:rPr>
        <w:t xml:space="preserve">openbare en de particuliere sector </w:t>
      </w:r>
      <w:r w:rsidR="00727BDA">
        <w:rPr>
          <w:lang w:val="nl-NL"/>
        </w:rPr>
        <w:t>worden gevoerd</w:t>
      </w:r>
      <w:r w:rsidR="00BF514B" w:rsidRPr="00BC74EF">
        <w:rPr>
          <w:lang w:val="nl-NL"/>
        </w:rPr>
        <w:t xml:space="preserve"> </w:t>
      </w:r>
      <w:r w:rsidR="003C5AB4" w:rsidRPr="00BC74EF">
        <w:rPr>
          <w:lang w:val="nl-NL"/>
        </w:rPr>
        <w:t xml:space="preserve">om stereotypen, </w:t>
      </w:r>
      <w:r w:rsidR="003C5AB4" w:rsidRPr="00BC74EF">
        <w:rPr>
          <w:lang w:val="nl-NL"/>
        </w:rPr>
        <w:lastRenderedPageBreak/>
        <w:t xml:space="preserve">vooroordelen en schadelijke praktijken met betrekking tot personen met een handicap op alle gebieden van het leven te bestrijden. </w:t>
      </w:r>
      <w:r w:rsidR="00727BDA">
        <w:rPr>
          <w:lang w:val="nl-NL"/>
        </w:rPr>
        <w:t>Het gaat onder meer om</w:t>
      </w:r>
      <w:r w:rsidR="000B04B0" w:rsidRPr="00BC74EF">
        <w:rPr>
          <w:lang w:val="nl-NL"/>
        </w:rPr>
        <w:t xml:space="preserve"> bewustmakingscampagnes ter bestrijding van stereotypen die gebaseerd zijn op de veronderstelling dat sommige personen met een handicap, zoals </w:t>
      </w:r>
      <w:r w:rsidR="00727BDA">
        <w:rPr>
          <w:lang w:val="nl-NL"/>
        </w:rPr>
        <w:t>mensen met autisme</w:t>
      </w:r>
      <w:r w:rsidR="000B04B0" w:rsidRPr="00BC74EF">
        <w:rPr>
          <w:lang w:val="nl-NL"/>
        </w:rPr>
        <w:t>, doven, blinden</w:t>
      </w:r>
      <w:r w:rsidR="004D351E" w:rsidRPr="00BC74EF">
        <w:rPr>
          <w:lang w:val="nl-NL"/>
        </w:rPr>
        <w:t xml:space="preserve">, personen met psychosociale handicap </w:t>
      </w:r>
      <w:r w:rsidR="000B04B0" w:rsidRPr="00BC74EF">
        <w:rPr>
          <w:lang w:val="nl-NL"/>
        </w:rPr>
        <w:t xml:space="preserve">en anderen, niet goed met collega's kunnen omgaan, minder afgeleid </w:t>
      </w:r>
      <w:r w:rsidR="003B7D30">
        <w:rPr>
          <w:lang w:val="nl-NL"/>
        </w:rPr>
        <w:t>worden</w:t>
      </w:r>
      <w:r w:rsidR="000B04B0" w:rsidRPr="00BC74EF">
        <w:rPr>
          <w:lang w:val="nl-NL"/>
        </w:rPr>
        <w:t xml:space="preserve"> en dus </w:t>
      </w:r>
      <w:r w:rsidR="003B7D30">
        <w:rPr>
          <w:lang w:val="nl-NL"/>
        </w:rPr>
        <w:t>productiever zijn</w:t>
      </w:r>
      <w:r w:rsidR="000B04B0" w:rsidRPr="00BC74EF">
        <w:rPr>
          <w:lang w:val="nl-NL"/>
        </w:rPr>
        <w:t xml:space="preserve"> dan hun collega's. </w:t>
      </w:r>
      <w:r w:rsidR="00932591" w:rsidRPr="00F95F1D">
        <w:rPr>
          <w:lang w:val="nl-NL"/>
        </w:rPr>
        <w:t xml:space="preserve">Waardensystemen zoals </w:t>
      </w:r>
      <w:r w:rsidR="00E562AD" w:rsidRPr="00F95F1D">
        <w:rPr>
          <w:lang w:val="nl-NL"/>
        </w:rPr>
        <w:t>validisme</w:t>
      </w:r>
      <w:r w:rsidR="00932591" w:rsidRPr="00F95F1D">
        <w:rPr>
          <w:lang w:val="nl-NL"/>
        </w:rPr>
        <w:t>,</w:t>
      </w:r>
      <w:r w:rsidR="00932591" w:rsidRPr="00BC74EF">
        <w:rPr>
          <w:lang w:val="nl-NL"/>
        </w:rPr>
        <w:t xml:space="preserve"> die </w:t>
      </w:r>
      <w:r w:rsidR="0004683B" w:rsidRPr="00BC74EF">
        <w:rPr>
          <w:lang w:val="nl-NL"/>
        </w:rPr>
        <w:t xml:space="preserve">ten grondslag liggen aan </w:t>
      </w:r>
      <w:r w:rsidR="00932591" w:rsidRPr="00BC74EF">
        <w:rPr>
          <w:lang w:val="nl-NL"/>
        </w:rPr>
        <w:t xml:space="preserve">wetgeving, beleid en praktijken die leiden tot ongelijkheid en discriminatie, moeten worden geïdentificeerd en </w:t>
      </w:r>
      <w:r w:rsidR="003B7D30">
        <w:rPr>
          <w:lang w:val="nl-NL"/>
        </w:rPr>
        <w:t>uitgebannen</w:t>
      </w:r>
      <w:r w:rsidR="00E562AD">
        <w:rPr>
          <w:lang w:val="nl-NL"/>
        </w:rPr>
        <w:t>.</w:t>
      </w:r>
      <w:r w:rsidR="002763E3" w:rsidRPr="003B7D30">
        <w:rPr>
          <w:strike/>
          <w:lang w:val="nl-NL"/>
        </w:rPr>
        <w:t xml:space="preserve"> </w:t>
      </w:r>
      <w:r w:rsidR="00932591" w:rsidRPr="003B7D30">
        <w:rPr>
          <w:strike/>
          <w:lang w:val="nl-NL"/>
        </w:rPr>
        <w:t xml:space="preserve"> </w:t>
      </w:r>
    </w:p>
    <w:p w14:paraId="5E1070E8" w14:textId="66CEBAC8" w:rsidR="00F6202B" w:rsidRPr="00BC74EF" w:rsidRDefault="00ED6C60" w:rsidP="003B7D30">
      <w:pPr>
        <w:pStyle w:val="SingleTxtG"/>
        <w:rPr>
          <w:lang w:val="nl-NL"/>
        </w:rPr>
      </w:pPr>
      <w:bookmarkStart w:id="34" w:name="_Hlk110258116"/>
      <w:r>
        <w:rPr>
          <w:lang w:val="nl-NL"/>
        </w:rPr>
        <w:t>70</w:t>
      </w:r>
      <w:r w:rsidR="0006414B" w:rsidRPr="00BC74EF">
        <w:rPr>
          <w:lang w:val="nl-NL"/>
        </w:rPr>
        <w:t>.</w:t>
      </w:r>
      <w:r w:rsidR="0006414B" w:rsidRPr="00BC74EF">
        <w:rPr>
          <w:lang w:val="nl-NL"/>
        </w:rPr>
        <w:tab/>
      </w:r>
      <w:r w:rsidR="003B7D30">
        <w:rPr>
          <w:lang w:val="nl-NL"/>
        </w:rPr>
        <w:t>Zolang</w:t>
      </w:r>
      <w:r w:rsidR="00F066C2" w:rsidRPr="00BC74EF">
        <w:rPr>
          <w:lang w:val="nl-NL"/>
        </w:rPr>
        <w:t xml:space="preserve"> toegankelijkheid </w:t>
      </w:r>
      <w:r w:rsidR="003B7D30">
        <w:rPr>
          <w:lang w:val="nl-NL"/>
        </w:rPr>
        <w:t xml:space="preserve">(art. 9) </w:t>
      </w:r>
      <w:r w:rsidR="007D40F7" w:rsidRPr="00BC74EF">
        <w:rPr>
          <w:lang w:val="nl-NL"/>
        </w:rPr>
        <w:t xml:space="preserve">en persoonlijke mobiliteit </w:t>
      </w:r>
      <w:r w:rsidR="00F066C2" w:rsidRPr="00BC74EF">
        <w:rPr>
          <w:lang w:val="nl-NL"/>
        </w:rPr>
        <w:t>(</w:t>
      </w:r>
      <w:r w:rsidR="007D40F7" w:rsidRPr="00BC74EF">
        <w:rPr>
          <w:lang w:val="nl-NL"/>
        </w:rPr>
        <w:t>art</w:t>
      </w:r>
      <w:r w:rsidR="00F066C2" w:rsidRPr="00BC74EF">
        <w:rPr>
          <w:lang w:val="nl-NL"/>
        </w:rPr>
        <w:t xml:space="preserve">. </w:t>
      </w:r>
      <w:r w:rsidR="007D40F7" w:rsidRPr="00BC74EF">
        <w:rPr>
          <w:lang w:val="nl-NL"/>
        </w:rPr>
        <w:t>20</w:t>
      </w:r>
      <w:r w:rsidR="00F066C2" w:rsidRPr="00BC74EF">
        <w:rPr>
          <w:lang w:val="nl-NL"/>
        </w:rPr>
        <w:t xml:space="preserve">) tijdens de arbeidscyclus, op de werkplek, bij vakbondsactiviteiten </w:t>
      </w:r>
      <w:r w:rsidR="00DB250A" w:rsidRPr="00BC74EF">
        <w:rPr>
          <w:lang w:val="nl-NL"/>
        </w:rPr>
        <w:t xml:space="preserve">en </w:t>
      </w:r>
      <w:r w:rsidR="00C230D0" w:rsidRPr="00BC74EF">
        <w:rPr>
          <w:lang w:val="nl-NL"/>
        </w:rPr>
        <w:t xml:space="preserve">via </w:t>
      </w:r>
      <w:r w:rsidR="00DB250A" w:rsidRPr="00BC74EF">
        <w:rPr>
          <w:lang w:val="nl-NL"/>
        </w:rPr>
        <w:t xml:space="preserve">toegankelijk vervoer en ondersteunende diensten om naar </w:t>
      </w:r>
      <w:r w:rsidR="003B7D30">
        <w:rPr>
          <w:lang w:val="nl-NL"/>
        </w:rPr>
        <w:t>de</w:t>
      </w:r>
      <w:r w:rsidR="00DB250A" w:rsidRPr="00BC74EF">
        <w:rPr>
          <w:lang w:val="nl-NL"/>
        </w:rPr>
        <w:t xml:space="preserve"> werkplek te gaan</w:t>
      </w:r>
      <w:r w:rsidR="003B7D30">
        <w:rPr>
          <w:lang w:val="nl-NL"/>
        </w:rPr>
        <w:t>, niet gewaarborgd is, kunnen personen met een handicap hun recht op werk en werkgelegenheid niet daadwerkelijk op voet van gelijkheid met anderen uitoefenen</w:t>
      </w:r>
      <w:r w:rsidR="00DB250A" w:rsidRPr="00BC74EF">
        <w:rPr>
          <w:lang w:val="nl-NL"/>
        </w:rPr>
        <w:t xml:space="preserve">. </w:t>
      </w:r>
      <w:r w:rsidR="003B7D30">
        <w:rPr>
          <w:lang w:val="nl-NL"/>
        </w:rPr>
        <w:t>Alle informatie</w:t>
      </w:r>
      <w:r w:rsidR="00DB250A" w:rsidRPr="00BC74EF">
        <w:rPr>
          <w:lang w:val="nl-NL"/>
        </w:rPr>
        <w:t xml:space="preserve"> in verband met werk en werkgelegenheid moet toegankelijk zijn </w:t>
      </w:r>
      <w:r w:rsidR="003B7D30">
        <w:rPr>
          <w:lang w:val="nl-NL"/>
        </w:rPr>
        <w:t xml:space="preserve">in gebarentaal, </w:t>
      </w:r>
      <w:r w:rsidR="003B7D30" w:rsidRPr="00BC74EF">
        <w:rPr>
          <w:lang w:val="nl-NL"/>
        </w:rPr>
        <w:t>braille, Easy Read, toegankelijke elektronische formaten</w:t>
      </w:r>
      <w:r w:rsidR="003B7D30">
        <w:rPr>
          <w:lang w:val="nl-NL"/>
        </w:rPr>
        <w:t xml:space="preserve">, aangepast </w:t>
      </w:r>
      <w:r w:rsidR="003B7D30" w:rsidRPr="00BC74EF">
        <w:rPr>
          <w:lang w:val="nl-NL"/>
        </w:rPr>
        <w:t xml:space="preserve">schrift </w:t>
      </w:r>
      <w:r w:rsidR="003B7D30">
        <w:rPr>
          <w:lang w:val="nl-NL"/>
        </w:rPr>
        <w:t>en via verbeterde alternatieve manieren, middelen en formaten</w:t>
      </w:r>
      <w:r w:rsidR="00F2417E" w:rsidRPr="00BC74EF">
        <w:rPr>
          <w:lang w:val="nl-NL"/>
        </w:rPr>
        <w:t>.</w:t>
      </w:r>
      <w:r w:rsidR="003C5AB4" w:rsidRPr="00BC74EF">
        <w:rPr>
          <w:rStyle w:val="Voetnootmarkering"/>
          <w:lang w:val="nl-NL"/>
        </w:rPr>
        <w:footnoteReference w:id="59"/>
      </w:r>
    </w:p>
    <w:bookmarkEnd w:id="34"/>
    <w:p w14:paraId="37C86653" w14:textId="73E37DA4" w:rsidR="00F6202B" w:rsidRPr="00BC74EF" w:rsidRDefault="00AC77AC">
      <w:pPr>
        <w:pStyle w:val="SingleTxtG"/>
        <w:tabs>
          <w:tab w:val="clear" w:pos="2268"/>
        </w:tabs>
        <w:rPr>
          <w:lang w:val="nl-NL"/>
        </w:rPr>
      </w:pPr>
      <w:r w:rsidRPr="00BC74EF">
        <w:rPr>
          <w:lang w:val="nl-NL"/>
        </w:rPr>
        <w:t>7</w:t>
      </w:r>
      <w:r w:rsidR="00ED6C60">
        <w:rPr>
          <w:lang w:val="nl-NL"/>
        </w:rPr>
        <w:t>1</w:t>
      </w:r>
      <w:r w:rsidRPr="00BC74EF">
        <w:rPr>
          <w:lang w:val="nl-NL"/>
        </w:rPr>
        <w:t>.</w:t>
      </w:r>
      <w:r w:rsidRPr="00BC74EF">
        <w:rPr>
          <w:lang w:val="nl-NL"/>
        </w:rPr>
        <w:tab/>
      </w:r>
      <w:r w:rsidR="003C5AB4" w:rsidRPr="00BC74EF">
        <w:rPr>
          <w:lang w:val="nl-NL"/>
        </w:rPr>
        <w:t>Personen met een handicap hebben overal recht op erkenning als persoon voor de wet</w:t>
      </w:r>
      <w:r w:rsidR="009E45D1">
        <w:rPr>
          <w:lang w:val="nl-NL"/>
        </w:rPr>
        <w:t xml:space="preserve"> (art. 12)</w:t>
      </w:r>
      <w:r w:rsidR="003C5AB4" w:rsidRPr="00BC74EF">
        <w:rPr>
          <w:lang w:val="nl-NL"/>
        </w:rPr>
        <w:t xml:space="preserve">, en hebben </w:t>
      </w:r>
      <w:r w:rsidR="003B7D30">
        <w:rPr>
          <w:lang w:val="nl-NL"/>
        </w:rPr>
        <w:t>in alle aspecten van het leven dezelfde handelingsbekwaamheid als anderen</w:t>
      </w:r>
      <w:r w:rsidR="009E45D1">
        <w:rPr>
          <w:lang w:val="nl-NL"/>
        </w:rPr>
        <w:t>, onder meer</w:t>
      </w:r>
      <w:r w:rsidR="003C5AB4" w:rsidRPr="00BC74EF">
        <w:rPr>
          <w:lang w:val="nl-NL"/>
        </w:rPr>
        <w:t xml:space="preserve"> gedurende de gehele arbeidscyclus, </w:t>
      </w:r>
      <w:r w:rsidR="009E45D1">
        <w:rPr>
          <w:lang w:val="nl-NL"/>
        </w:rPr>
        <w:t>in het bijzonder</w:t>
      </w:r>
      <w:r w:rsidR="003C5AB4" w:rsidRPr="00BC74EF">
        <w:rPr>
          <w:lang w:val="nl-NL"/>
        </w:rPr>
        <w:t xml:space="preserve"> </w:t>
      </w:r>
      <w:r w:rsidR="0051454E" w:rsidRPr="00BC74EF">
        <w:rPr>
          <w:lang w:val="nl-NL"/>
        </w:rPr>
        <w:t xml:space="preserve">bij het aangaan </w:t>
      </w:r>
      <w:r w:rsidR="003C5AB4" w:rsidRPr="00BC74EF">
        <w:rPr>
          <w:lang w:val="nl-NL"/>
        </w:rPr>
        <w:t>van een arbeids</w:t>
      </w:r>
      <w:r w:rsidR="009E45D1">
        <w:rPr>
          <w:lang w:val="nl-NL"/>
        </w:rPr>
        <w:t>relatie</w:t>
      </w:r>
      <w:r w:rsidR="003C5AB4" w:rsidRPr="00BC74EF">
        <w:rPr>
          <w:lang w:val="nl-NL"/>
        </w:rPr>
        <w:t xml:space="preserve"> </w:t>
      </w:r>
      <w:r w:rsidR="0051454E" w:rsidRPr="00BC74EF">
        <w:rPr>
          <w:lang w:val="nl-NL"/>
        </w:rPr>
        <w:t>(</w:t>
      </w:r>
      <w:r w:rsidR="003C5AB4" w:rsidRPr="00BC74EF">
        <w:rPr>
          <w:lang w:val="nl-NL"/>
        </w:rPr>
        <w:t xml:space="preserve">bijvoorbeeld via een </w:t>
      </w:r>
      <w:r w:rsidR="00EA5491">
        <w:rPr>
          <w:lang w:val="nl-NL"/>
        </w:rPr>
        <w:t>formele overeenkomst</w:t>
      </w:r>
      <w:r w:rsidR="0051454E" w:rsidRPr="00BC74EF">
        <w:rPr>
          <w:lang w:val="nl-NL"/>
        </w:rPr>
        <w:t xml:space="preserve">), </w:t>
      </w:r>
      <w:r w:rsidR="003C5AB4" w:rsidRPr="00BC74EF">
        <w:rPr>
          <w:lang w:val="nl-NL"/>
        </w:rPr>
        <w:t xml:space="preserve">en </w:t>
      </w:r>
      <w:r w:rsidR="00EA5491">
        <w:rPr>
          <w:lang w:val="nl-NL"/>
        </w:rPr>
        <w:t>bij</w:t>
      </w:r>
      <w:r w:rsidR="00161A26" w:rsidRPr="00BC74EF">
        <w:rPr>
          <w:lang w:val="nl-NL"/>
        </w:rPr>
        <w:t xml:space="preserve"> de </w:t>
      </w:r>
      <w:r w:rsidR="003C5AB4" w:rsidRPr="00BC74EF">
        <w:rPr>
          <w:lang w:val="nl-NL"/>
        </w:rPr>
        <w:t xml:space="preserve">toegang </w:t>
      </w:r>
      <w:r w:rsidR="0051454E" w:rsidRPr="00BC74EF">
        <w:rPr>
          <w:lang w:val="nl-NL"/>
        </w:rPr>
        <w:t xml:space="preserve">tot </w:t>
      </w:r>
      <w:r w:rsidR="003C5AB4" w:rsidRPr="00BC74EF">
        <w:rPr>
          <w:lang w:val="nl-NL"/>
        </w:rPr>
        <w:t xml:space="preserve">financiering, krediet en verzekering. </w:t>
      </w:r>
      <w:r w:rsidR="00EA5491">
        <w:rPr>
          <w:lang w:val="nl-NL"/>
        </w:rPr>
        <w:t>Steun voor</w:t>
      </w:r>
      <w:r w:rsidR="0041366A" w:rsidRPr="00BC74EF">
        <w:rPr>
          <w:lang w:val="nl-NL"/>
        </w:rPr>
        <w:t xml:space="preserve"> uitoefening van </w:t>
      </w:r>
      <w:r w:rsidR="00EA5491">
        <w:rPr>
          <w:lang w:val="nl-NL"/>
        </w:rPr>
        <w:t xml:space="preserve">de </w:t>
      </w:r>
      <w:r w:rsidR="003C5AB4" w:rsidRPr="00BC74EF">
        <w:rPr>
          <w:lang w:val="nl-NL"/>
        </w:rPr>
        <w:t xml:space="preserve">handelingsbekwaamheid </w:t>
      </w:r>
      <w:r w:rsidR="00E84800" w:rsidRPr="00BC74EF">
        <w:rPr>
          <w:lang w:val="nl-NL"/>
        </w:rPr>
        <w:t xml:space="preserve">kan </w:t>
      </w:r>
      <w:r w:rsidR="00EA5491">
        <w:rPr>
          <w:lang w:val="nl-NL"/>
        </w:rPr>
        <w:t xml:space="preserve">onder meer </w:t>
      </w:r>
      <w:r w:rsidR="003C5AB4" w:rsidRPr="00BC74EF">
        <w:rPr>
          <w:lang w:val="nl-NL"/>
        </w:rPr>
        <w:t>ondersteunde besluitvorming inhouden</w:t>
      </w:r>
      <w:r w:rsidR="00F2417E" w:rsidRPr="00BC74EF">
        <w:rPr>
          <w:lang w:val="nl-NL"/>
        </w:rPr>
        <w:t>.</w:t>
      </w:r>
      <w:r w:rsidR="003C5AB4" w:rsidRPr="00BC74EF">
        <w:rPr>
          <w:rStyle w:val="Voetnootmarkering"/>
          <w:lang w:val="nl-NL"/>
        </w:rPr>
        <w:footnoteReference w:id="60"/>
      </w:r>
    </w:p>
    <w:p w14:paraId="1E0A432A" w14:textId="3D029394" w:rsidR="00F6202B" w:rsidRPr="00BC74EF" w:rsidRDefault="00AC77AC">
      <w:pPr>
        <w:pStyle w:val="SingleTxtG"/>
        <w:tabs>
          <w:tab w:val="clear" w:pos="2268"/>
        </w:tabs>
        <w:rPr>
          <w:lang w:val="nl-NL"/>
        </w:rPr>
      </w:pPr>
      <w:r w:rsidRPr="00BC74EF">
        <w:rPr>
          <w:lang w:val="nl-NL"/>
        </w:rPr>
        <w:t>7</w:t>
      </w:r>
      <w:r w:rsidR="00ED6C60">
        <w:rPr>
          <w:lang w:val="nl-NL"/>
        </w:rPr>
        <w:t>2</w:t>
      </w:r>
      <w:r w:rsidRPr="00BC74EF">
        <w:rPr>
          <w:lang w:val="nl-NL"/>
        </w:rPr>
        <w:t>.</w:t>
      </w:r>
      <w:r w:rsidRPr="00BC74EF">
        <w:rPr>
          <w:lang w:val="nl-NL"/>
        </w:rPr>
        <w:tab/>
      </w:r>
      <w:r w:rsidR="00D40093" w:rsidRPr="00BC74EF">
        <w:rPr>
          <w:lang w:val="nl-NL"/>
        </w:rPr>
        <w:t xml:space="preserve">Personen met een handicap hebben </w:t>
      </w:r>
      <w:r w:rsidR="005A6593" w:rsidRPr="00BC74EF">
        <w:rPr>
          <w:lang w:val="nl-NL"/>
        </w:rPr>
        <w:t xml:space="preserve">recht op </w:t>
      </w:r>
      <w:r w:rsidR="003C5AB4" w:rsidRPr="00BC74EF">
        <w:rPr>
          <w:lang w:val="nl-NL"/>
        </w:rPr>
        <w:t xml:space="preserve">toegang tot de rechter </w:t>
      </w:r>
      <w:r w:rsidR="005A6593" w:rsidRPr="00BC74EF">
        <w:rPr>
          <w:lang w:val="nl-NL"/>
        </w:rPr>
        <w:t xml:space="preserve">(art. 13) </w:t>
      </w:r>
      <w:r w:rsidR="008F1997" w:rsidRPr="00BC74EF">
        <w:rPr>
          <w:lang w:val="nl-NL"/>
        </w:rPr>
        <w:t>op voet van gelijkheid met anderen</w:t>
      </w:r>
      <w:r w:rsidR="007431B1" w:rsidRPr="00BC74EF">
        <w:rPr>
          <w:lang w:val="nl-NL"/>
        </w:rPr>
        <w:t xml:space="preserve">, op </w:t>
      </w:r>
      <w:r w:rsidR="003C5AB4" w:rsidRPr="00BC74EF">
        <w:rPr>
          <w:lang w:val="nl-NL"/>
        </w:rPr>
        <w:t>alle gebieden van het arbeidsrecht</w:t>
      </w:r>
      <w:r w:rsidR="005A6593" w:rsidRPr="00BC74EF">
        <w:rPr>
          <w:lang w:val="nl-NL"/>
        </w:rPr>
        <w:t xml:space="preserve">, met inbegrip van </w:t>
      </w:r>
      <w:r w:rsidR="00EA5491">
        <w:rPr>
          <w:lang w:val="nl-NL"/>
        </w:rPr>
        <w:t>de relaties tussen de sociale partners</w:t>
      </w:r>
      <w:r w:rsidR="005A6593" w:rsidRPr="00BC74EF">
        <w:rPr>
          <w:lang w:val="nl-NL"/>
        </w:rPr>
        <w:t xml:space="preserve"> en schade</w:t>
      </w:r>
      <w:r w:rsidR="00EA5491">
        <w:rPr>
          <w:lang w:val="nl-NL"/>
        </w:rPr>
        <w:t>vergoedingen bij arbeidsongevallen</w:t>
      </w:r>
      <w:r w:rsidR="003C5AB4" w:rsidRPr="00BC74EF">
        <w:rPr>
          <w:lang w:val="nl-NL"/>
        </w:rPr>
        <w:t xml:space="preserve">. </w:t>
      </w:r>
    </w:p>
    <w:p w14:paraId="0ABF60E7" w14:textId="21B6A18A" w:rsidR="00F6202B" w:rsidRPr="00BC74EF" w:rsidRDefault="00AC77AC">
      <w:pPr>
        <w:pStyle w:val="SingleTxtG"/>
        <w:tabs>
          <w:tab w:val="clear" w:pos="2268"/>
        </w:tabs>
        <w:rPr>
          <w:lang w:val="nl-NL"/>
        </w:rPr>
      </w:pPr>
      <w:r w:rsidRPr="00BC74EF">
        <w:rPr>
          <w:lang w:val="nl-NL"/>
        </w:rPr>
        <w:t>7</w:t>
      </w:r>
      <w:r w:rsidR="00ED6C60">
        <w:rPr>
          <w:lang w:val="nl-NL"/>
        </w:rPr>
        <w:t>3</w:t>
      </w:r>
      <w:r w:rsidR="0006414B" w:rsidRPr="00BC74EF">
        <w:rPr>
          <w:lang w:val="nl-NL"/>
        </w:rPr>
        <w:t>.</w:t>
      </w:r>
      <w:r w:rsidR="0006414B" w:rsidRPr="00BC74EF">
        <w:rPr>
          <w:lang w:val="nl-NL"/>
        </w:rPr>
        <w:tab/>
      </w:r>
      <w:bookmarkStart w:id="36" w:name="_Hlk104637114"/>
      <w:r w:rsidR="00EA5491">
        <w:rPr>
          <w:lang w:val="nl-NL"/>
        </w:rPr>
        <w:t xml:space="preserve">Personen met een handicap </w:t>
      </w:r>
      <w:r w:rsidR="00D40093" w:rsidRPr="00BC74EF">
        <w:rPr>
          <w:lang w:val="nl-NL"/>
        </w:rPr>
        <w:t xml:space="preserve">hebben </w:t>
      </w:r>
      <w:r w:rsidR="00B17A39" w:rsidRPr="00BC74EF">
        <w:rPr>
          <w:lang w:val="nl-NL"/>
        </w:rPr>
        <w:t xml:space="preserve">het recht op keuze, instemming en vrijwaring van dwang. Het risico van dwang vloeit voort uit het feit dat personen met een handicap bredere </w:t>
      </w:r>
      <w:r w:rsidR="00905222" w:rsidRPr="00BC74EF">
        <w:rPr>
          <w:lang w:val="nl-NL"/>
        </w:rPr>
        <w:t xml:space="preserve">sociale en omgevingsbarrières ervaren die </w:t>
      </w:r>
      <w:r w:rsidR="009E45D1">
        <w:rPr>
          <w:lang w:val="nl-NL"/>
        </w:rPr>
        <w:t>hen kwetsbaar maken</w:t>
      </w:r>
      <w:r w:rsidR="00B17A39" w:rsidRPr="00BC74EF">
        <w:rPr>
          <w:lang w:val="nl-NL"/>
        </w:rPr>
        <w:t xml:space="preserve">, </w:t>
      </w:r>
      <w:r w:rsidR="008C38E3">
        <w:rPr>
          <w:lang w:val="nl-NL"/>
        </w:rPr>
        <w:t xml:space="preserve">hun echte </w:t>
      </w:r>
      <w:r w:rsidR="00B17A39" w:rsidRPr="00BC74EF">
        <w:rPr>
          <w:lang w:val="nl-NL"/>
        </w:rPr>
        <w:t xml:space="preserve">alternatieven </w:t>
      </w:r>
      <w:r w:rsidR="008C38E3">
        <w:rPr>
          <w:lang w:val="nl-NL"/>
        </w:rPr>
        <w:t xml:space="preserve">ontnemen </w:t>
      </w:r>
      <w:r w:rsidR="00B17A39" w:rsidRPr="00BC74EF">
        <w:rPr>
          <w:lang w:val="nl-NL"/>
        </w:rPr>
        <w:t xml:space="preserve">en </w:t>
      </w:r>
      <w:r w:rsidR="008C38E3">
        <w:rPr>
          <w:lang w:val="nl-NL"/>
        </w:rPr>
        <w:t xml:space="preserve">hen in </w:t>
      </w:r>
      <w:r w:rsidR="00B17A39" w:rsidRPr="00BC74EF">
        <w:rPr>
          <w:lang w:val="nl-NL"/>
        </w:rPr>
        <w:t xml:space="preserve">afhankelijkheids- of </w:t>
      </w:r>
      <w:r w:rsidR="00905222" w:rsidRPr="00BC74EF">
        <w:rPr>
          <w:lang w:val="nl-NL"/>
        </w:rPr>
        <w:t>zorgrelaties</w:t>
      </w:r>
      <w:r w:rsidR="008C38E3">
        <w:rPr>
          <w:lang w:val="nl-NL"/>
        </w:rPr>
        <w:t xml:space="preserve"> plaatsen</w:t>
      </w:r>
      <w:r w:rsidR="00905222" w:rsidRPr="00BC74EF">
        <w:rPr>
          <w:lang w:val="nl-NL"/>
        </w:rPr>
        <w:t xml:space="preserve"> </w:t>
      </w:r>
      <w:r w:rsidR="00B17A39" w:rsidRPr="00BC74EF">
        <w:rPr>
          <w:lang w:val="nl-NL"/>
        </w:rPr>
        <w:t>die uitbuitend kunnen worden (art. 16)</w:t>
      </w:r>
      <w:r w:rsidR="00033A4E" w:rsidRPr="00BC74EF">
        <w:rPr>
          <w:lang w:val="nl-NL"/>
        </w:rPr>
        <w:t xml:space="preserve">. </w:t>
      </w:r>
      <w:r w:rsidR="00B17A39" w:rsidRPr="00BC74EF">
        <w:rPr>
          <w:lang w:val="nl-NL"/>
        </w:rPr>
        <w:t xml:space="preserve">Het is van cruciaal belang te weten of er toestemming is gegeven. Zelfs wanneer toestemming is gegeven, </w:t>
      </w:r>
      <w:r w:rsidR="00F20F7C">
        <w:rPr>
          <w:lang w:val="nl-NL"/>
        </w:rPr>
        <w:t>moet worden nagegaan of er sprake zijn</w:t>
      </w:r>
      <w:r w:rsidR="00B17A39" w:rsidRPr="00BC74EF">
        <w:rPr>
          <w:lang w:val="nl-NL"/>
        </w:rPr>
        <w:t xml:space="preserve"> van dwang</w:t>
      </w:r>
      <w:r w:rsidR="00BD3BF8" w:rsidRPr="00BC74EF">
        <w:rPr>
          <w:lang w:val="nl-NL"/>
        </w:rPr>
        <w:t xml:space="preserve">, </w:t>
      </w:r>
      <w:r w:rsidR="00B17A39" w:rsidRPr="00BC74EF">
        <w:rPr>
          <w:lang w:val="nl-NL"/>
        </w:rPr>
        <w:t xml:space="preserve">uitbuiting </w:t>
      </w:r>
      <w:r w:rsidR="00BD3BF8" w:rsidRPr="00BC74EF">
        <w:rPr>
          <w:lang w:val="nl-NL"/>
        </w:rPr>
        <w:t>en alternatieven</w:t>
      </w:r>
      <w:r w:rsidR="00B17A39" w:rsidRPr="00BC74EF">
        <w:rPr>
          <w:lang w:val="nl-NL"/>
        </w:rPr>
        <w:t xml:space="preserve">. </w:t>
      </w:r>
      <w:r w:rsidR="00F20F7C">
        <w:rPr>
          <w:lang w:val="nl-NL"/>
        </w:rPr>
        <w:t>Toes</w:t>
      </w:r>
      <w:r w:rsidR="00B17A39" w:rsidRPr="00BC74EF">
        <w:rPr>
          <w:lang w:val="nl-NL"/>
        </w:rPr>
        <w:t xml:space="preserve">temming is niet voldoende om aan te geven dat een persoon met </w:t>
      </w:r>
      <w:r w:rsidR="0013694B" w:rsidRPr="00BC74EF">
        <w:rPr>
          <w:lang w:val="nl-NL"/>
        </w:rPr>
        <w:t xml:space="preserve">een handicap </w:t>
      </w:r>
      <w:r w:rsidR="00B17A39" w:rsidRPr="00BC74EF">
        <w:rPr>
          <w:lang w:val="nl-NL"/>
        </w:rPr>
        <w:t xml:space="preserve">zich niet in een situatie van dienstbaarheid </w:t>
      </w:r>
      <w:r w:rsidR="00BD3BF8" w:rsidRPr="00BC74EF">
        <w:rPr>
          <w:lang w:val="nl-NL"/>
        </w:rPr>
        <w:t xml:space="preserve">of slavernij bevindt. </w:t>
      </w:r>
      <w:r w:rsidR="00124F24" w:rsidRPr="00BC74EF">
        <w:rPr>
          <w:lang w:val="nl-NL"/>
        </w:rPr>
        <w:t xml:space="preserve">Kinderen </w:t>
      </w:r>
      <w:r w:rsidR="00CA665D" w:rsidRPr="00BC74EF">
        <w:rPr>
          <w:lang w:val="nl-NL"/>
        </w:rPr>
        <w:t>met een handicap zijn bijzonder kwetsbaar voor economische uitbuiting, met inbegrip van kinderarbeid, drugshandel en bedelarij.</w:t>
      </w:r>
      <w:r w:rsidR="004B1304" w:rsidRPr="00BC74EF">
        <w:rPr>
          <w:rStyle w:val="Voetnootmarkering"/>
          <w:lang w:val="nl-NL"/>
        </w:rPr>
        <w:footnoteReference w:id="61"/>
      </w:r>
      <w:bookmarkEnd w:id="36"/>
      <w:r w:rsidR="00F20F7C">
        <w:rPr>
          <w:lang w:val="nl-NL"/>
        </w:rPr>
        <w:t xml:space="preserve"> </w:t>
      </w:r>
      <w:r w:rsidR="0013694B" w:rsidRPr="00BC74EF">
        <w:rPr>
          <w:lang w:val="nl-NL"/>
        </w:rPr>
        <w:t xml:space="preserve">Jongeren met een handicap </w:t>
      </w:r>
      <w:r w:rsidR="00F20F7C">
        <w:rPr>
          <w:lang w:val="nl-NL"/>
        </w:rPr>
        <w:t>zijn ook bijzonder kwetsbaar voor</w:t>
      </w:r>
      <w:r w:rsidR="0013694B" w:rsidRPr="00BC74EF">
        <w:rPr>
          <w:lang w:val="nl-NL"/>
        </w:rPr>
        <w:t xml:space="preserve"> oneigenlijk gebruik van onbetaalde stages</w:t>
      </w:r>
      <w:r w:rsidR="006F3619" w:rsidRPr="00BC74EF">
        <w:rPr>
          <w:lang w:val="nl-NL"/>
        </w:rPr>
        <w:t xml:space="preserve">, </w:t>
      </w:r>
      <w:r w:rsidR="0013694B" w:rsidRPr="00BC74EF">
        <w:rPr>
          <w:lang w:val="nl-NL"/>
        </w:rPr>
        <w:t xml:space="preserve">opleidingsprogramma's </w:t>
      </w:r>
      <w:r w:rsidR="006F3619" w:rsidRPr="00BC74EF">
        <w:rPr>
          <w:lang w:val="nl-NL"/>
        </w:rPr>
        <w:t>en vrijwilligers</w:t>
      </w:r>
      <w:r w:rsidR="00F20F7C">
        <w:rPr>
          <w:lang w:val="nl-NL"/>
        </w:rPr>
        <w:t>programma’s</w:t>
      </w:r>
      <w:r w:rsidR="00033A4E" w:rsidRPr="00BC74EF">
        <w:rPr>
          <w:lang w:val="nl-NL"/>
        </w:rPr>
        <w:t>.</w:t>
      </w:r>
    </w:p>
    <w:p w14:paraId="6AF52BB2" w14:textId="58110B27" w:rsidR="00F6202B" w:rsidRPr="00BC74EF" w:rsidRDefault="00AC77AC">
      <w:pPr>
        <w:pStyle w:val="SingleTxtG"/>
        <w:tabs>
          <w:tab w:val="clear" w:pos="2268"/>
        </w:tabs>
        <w:rPr>
          <w:lang w:val="nl-NL"/>
        </w:rPr>
      </w:pPr>
      <w:r w:rsidRPr="00BC74EF">
        <w:rPr>
          <w:lang w:val="nl-NL"/>
        </w:rPr>
        <w:t>7</w:t>
      </w:r>
      <w:r w:rsidR="00ED6C60">
        <w:rPr>
          <w:lang w:val="nl-NL"/>
        </w:rPr>
        <w:t>4</w:t>
      </w:r>
      <w:r w:rsidR="0006414B" w:rsidRPr="00BC74EF">
        <w:rPr>
          <w:lang w:val="nl-NL"/>
        </w:rPr>
        <w:t>.</w:t>
      </w:r>
      <w:r w:rsidR="0006414B" w:rsidRPr="00BC74EF">
        <w:rPr>
          <w:lang w:val="nl-NL"/>
        </w:rPr>
        <w:tab/>
      </w:r>
      <w:bookmarkStart w:id="37" w:name="_Hlk110258597"/>
      <w:r w:rsidR="00A04476" w:rsidRPr="00BC74EF">
        <w:rPr>
          <w:lang w:val="nl-NL"/>
        </w:rPr>
        <w:t>Vrij</w:t>
      </w:r>
      <w:r w:rsidR="00F20F7C">
        <w:rPr>
          <w:lang w:val="nl-NL"/>
        </w:rPr>
        <w:t>e keuze van</w:t>
      </w:r>
      <w:r w:rsidR="00A04476" w:rsidRPr="00BC74EF">
        <w:rPr>
          <w:lang w:val="nl-NL"/>
        </w:rPr>
        <w:t xml:space="preserve"> werk en werkgelegenheid op voet van gelijkheid met anderen is fundamenteel voor het zelfstandig leven </w:t>
      </w:r>
      <w:r w:rsidR="005656D3" w:rsidRPr="00BC74EF">
        <w:rPr>
          <w:lang w:val="nl-NL"/>
        </w:rPr>
        <w:t xml:space="preserve">en </w:t>
      </w:r>
      <w:r w:rsidR="00F20F7C">
        <w:rPr>
          <w:lang w:val="nl-NL"/>
        </w:rPr>
        <w:t>inclusie in de samenleving</w:t>
      </w:r>
      <w:r w:rsidR="005656D3" w:rsidRPr="00BC74EF">
        <w:rPr>
          <w:lang w:val="nl-NL"/>
        </w:rPr>
        <w:t xml:space="preserve"> </w:t>
      </w:r>
      <w:r w:rsidR="00E7771C" w:rsidRPr="00BC74EF">
        <w:rPr>
          <w:lang w:val="nl-NL"/>
        </w:rPr>
        <w:t>(</w:t>
      </w:r>
      <w:r w:rsidR="00A04476" w:rsidRPr="00BC74EF">
        <w:rPr>
          <w:lang w:val="nl-NL"/>
        </w:rPr>
        <w:t xml:space="preserve">art. 19).  Het zorgt voor economische onafhankelijkheid, keuzevrijheid, sociale banden, vriendschappen </w:t>
      </w:r>
      <w:r w:rsidR="006C0E31" w:rsidRPr="00BC74EF">
        <w:rPr>
          <w:lang w:val="nl-NL"/>
        </w:rPr>
        <w:t xml:space="preserve">en </w:t>
      </w:r>
      <w:r w:rsidR="00A04476" w:rsidRPr="00BC74EF">
        <w:rPr>
          <w:lang w:val="nl-NL"/>
        </w:rPr>
        <w:t>identiteit</w:t>
      </w:r>
      <w:r w:rsidR="00F20F7C">
        <w:rPr>
          <w:lang w:val="nl-NL"/>
        </w:rPr>
        <w:t>svorming</w:t>
      </w:r>
      <w:r w:rsidR="00130367" w:rsidRPr="00BC74EF">
        <w:rPr>
          <w:lang w:val="nl-NL"/>
        </w:rPr>
        <w:t xml:space="preserve">. Voor veel </w:t>
      </w:r>
      <w:r w:rsidR="00F20F7C">
        <w:rPr>
          <w:lang w:val="nl-NL"/>
        </w:rPr>
        <w:t>personen</w:t>
      </w:r>
      <w:r w:rsidR="00130367" w:rsidRPr="00BC74EF">
        <w:rPr>
          <w:lang w:val="nl-NL"/>
        </w:rPr>
        <w:t xml:space="preserve"> met een handicap </w:t>
      </w:r>
      <w:r w:rsidR="006C0E31" w:rsidRPr="00BC74EF">
        <w:rPr>
          <w:lang w:val="nl-NL"/>
        </w:rPr>
        <w:t xml:space="preserve">zijn </w:t>
      </w:r>
      <w:r w:rsidR="00F20F7C">
        <w:rPr>
          <w:lang w:val="nl-NL"/>
        </w:rPr>
        <w:t>financierings</w:t>
      </w:r>
      <w:r w:rsidR="00130367" w:rsidRPr="00BC74EF">
        <w:rPr>
          <w:lang w:val="nl-NL"/>
        </w:rPr>
        <w:t xml:space="preserve">programma's en </w:t>
      </w:r>
      <w:r w:rsidR="00F20F7C">
        <w:rPr>
          <w:lang w:val="nl-NL"/>
        </w:rPr>
        <w:t>maatregelen</w:t>
      </w:r>
      <w:r w:rsidR="00130367" w:rsidRPr="00BC74EF">
        <w:rPr>
          <w:lang w:val="nl-NL"/>
        </w:rPr>
        <w:t xml:space="preserve"> voor persoonlijke bijstand van cruciaal belang om hun recht op werk te waarborgen. </w:t>
      </w:r>
    </w:p>
    <w:bookmarkEnd w:id="37"/>
    <w:p w14:paraId="5A9A4B31" w14:textId="650273A7" w:rsidR="00F6202B" w:rsidRPr="00BC74EF" w:rsidRDefault="00AC77AC">
      <w:pPr>
        <w:pStyle w:val="SingleTxtG"/>
        <w:tabs>
          <w:tab w:val="clear" w:pos="2268"/>
        </w:tabs>
        <w:rPr>
          <w:lang w:val="nl-NL"/>
        </w:rPr>
      </w:pPr>
      <w:r w:rsidRPr="00BC74EF">
        <w:rPr>
          <w:lang w:val="nl-NL"/>
        </w:rPr>
        <w:t>7</w:t>
      </w:r>
      <w:r w:rsidR="00ED6C60">
        <w:rPr>
          <w:lang w:val="nl-NL"/>
        </w:rPr>
        <w:t>5</w:t>
      </w:r>
      <w:r w:rsidR="0006414B" w:rsidRPr="00BC74EF">
        <w:rPr>
          <w:lang w:val="nl-NL"/>
        </w:rPr>
        <w:t>.</w:t>
      </w:r>
      <w:r w:rsidR="0006414B" w:rsidRPr="00BC74EF">
        <w:rPr>
          <w:lang w:val="nl-NL"/>
        </w:rPr>
        <w:tab/>
      </w:r>
      <w:r w:rsidR="00120CE0" w:rsidRPr="00BC74EF">
        <w:rPr>
          <w:lang w:val="nl-NL"/>
        </w:rPr>
        <w:t>De eerbiediging van de persoonlijke levenssfeer (art. 22) is een belangrijk</w:t>
      </w:r>
      <w:r w:rsidR="00DC2AD2">
        <w:rPr>
          <w:lang w:val="nl-NL"/>
        </w:rPr>
        <w:t xml:space="preserve"> element dat </w:t>
      </w:r>
      <w:r w:rsidR="00A52A2A" w:rsidRPr="00BC74EF">
        <w:rPr>
          <w:lang w:val="nl-NL"/>
        </w:rPr>
        <w:t>vaak betrekking he</w:t>
      </w:r>
      <w:r w:rsidR="00DC2AD2">
        <w:rPr>
          <w:lang w:val="nl-NL"/>
        </w:rPr>
        <w:t>eft</w:t>
      </w:r>
      <w:r w:rsidR="00A52A2A" w:rsidRPr="00BC74EF">
        <w:rPr>
          <w:lang w:val="nl-NL"/>
        </w:rPr>
        <w:t xml:space="preserve"> op gevoelige persoonlijke kwesties. De eerbiediging van de persoonlijke levenssfeer van </w:t>
      </w:r>
      <w:r w:rsidR="00DC2AD2">
        <w:rPr>
          <w:lang w:val="nl-NL"/>
        </w:rPr>
        <w:t>werknemers met een handicap</w:t>
      </w:r>
      <w:r w:rsidR="00A905BA" w:rsidRPr="00BC74EF">
        <w:rPr>
          <w:lang w:val="nl-NL"/>
        </w:rPr>
        <w:t xml:space="preserve"> vereist dat werkgevers </w:t>
      </w:r>
      <w:r w:rsidR="007057B3" w:rsidRPr="00BC74EF">
        <w:rPr>
          <w:lang w:val="nl-NL"/>
        </w:rPr>
        <w:t xml:space="preserve">de toestemming van </w:t>
      </w:r>
      <w:r w:rsidR="00DC2AD2">
        <w:rPr>
          <w:lang w:val="nl-NL"/>
        </w:rPr>
        <w:t>de betrokkene</w:t>
      </w:r>
      <w:r w:rsidR="007057B3" w:rsidRPr="00BC74EF">
        <w:rPr>
          <w:lang w:val="nl-NL"/>
        </w:rPr>
        <w:t xml:space="preserve"> verkrijgen om de aan </w:t>
      </w:r>
      <w:r w:rsidR="00A905BA" w:rsidRPr="00BC74EF">
        <w:rPr>
          <w:lang w:val="nl-NL"/>
        </w:rPr>
        <w:t xml:space="preserve">hen verstrekte informatie over handicap of beperkingen te </w:t>
      </w:r>
      <w:r w:rsidR="007057B3" w:rsidRPr="00BC74EF">
        <w:rPr>
          <w:lang w:val="nl-NL"/>
        </w:rPr>
        <w:t xml:space="preserve">delen met bijvoorbeeld </w:t>
      </w:r>
      <w:r w:rsidR="00DC2AD2">
        <w:rPr>
          <w:lang w:val="nl-NL"/>
        </w:rPr>
        <w:t>de medewerkers van de personeelsdienst</w:t>
      </w:r>
      <w:r w:rsidR="007057B3" w:rsidRPr="00BC74EF">
        <w:rPr>
          <w:lang w:val="nl-NL"/>
        </w:rPr>
        <w:t xml:space="preserve">. De </w:t>
      </w:r>
      <w:r w:rsidR="00DC2AD2">
        <w:rPr>
          <w:lang w:val="nl-NL"/>
        </w:rPr>
        <w:t>verplichting</w:t>
      </w:r>
      <w:r w:rsidR="007057B3" w:rsidRPr="00BC74EF">
        <w:rPr>
          <w:lang w:val="nl-NL"/>
        </w:rPr>
        <w:t xml:space="preserve"> om vertrouwelijke informatie te beschermen strekt zich uit over de gehele arbeidscyclus en </w:t>
      </w:r>
      <w:r w:rsidR="00A905BA" w:rsidRPr="00BC74EF">
        <w:rPr>
          <w:lang w:val="nl-NL"/>
        </w:rPr>
        <w:t xml:space="preserve">omvat bescherming tegen het gebruik van genetische informatie die zou kunnen wijzen op een mogelijke aanleg voor bepaalde </w:t>
      </w:r>
      <w:r w:rsidR="002F23B7">
        <w:rPr>
          <w:lang w:val="nl-NL"/>
        </w:rPr>
        <w:t>handicap</w:t>
      </w:r>
      <w:r w:rsidR="007057B3" w:rsidRPr="00BC74EF">
        <w:rPr>
          <w:lang w:val="nl-NL"/>
        </w:rPr>
        <w:t>.</w:t>
      </w:r>
    </w:p>
    <w:p w14:paraId="6C4376A2" w14:textId="1E5E43E3" w:rsidR="00F6202B" w:rsidRPr="00BC74EF" w:rsidRDefault="00AC77AC">
      <w:pPr>
        <w:pStyle w:val="SingleTxtG"/>
        <w:tabs>
          <w:tab w:val="clear" w:pos="2268"/>
        </w:tabs>
        <w:rPr>
          <w:lang w:val="nl-NL"/>
        </w:rPr>
      </w:pPr>
      <w:r w:rsidRPr="00BC74EF">
        <w:rPr>
          <w:lang w:val="nl-NL"/>
        </w:rPr>
        <w:lastRenderedPageBreak/>
        <w:t>7</w:t>
      </w:r>
      <w:r w:rsidR="00ED6C60">
        <w:rPr>
          <w:lang w:val="nl-NL"/>
        </w:rPr>
        <w:t>6</w:t>
      </w:r>
      <w:r w:rsidR="0006414B" w:rsidRPr="00BC74EF">
        <w:rPr>
          <w:lang w:val="nl-NL"/>
        </w:rPr>
        <w:t>.</w:t>
      </w:r>
      <w:r w:rsidR="0006414B" w:rsidRPr="00BC74EF">
        <w:rPr>
          <w:lang w:val="nl-NL"/>
        </w:rPr>
        <w:tab/>
      </w:r>
      <w:r w:rsidR="003C5AB4" w:rsidRPr="00BC74EF">
        <w:rPr>
          <w:lang w:val="nl-NL"/>
        </w:rPr>
        <w:t xml:space="preserve">Inclusief onderwijs </w:t>
      </w:r>
      <w:r w:rsidR="003C6AA5" w:rsidRPr="00BC74EF">
        <w:rPr>
          <w:lang w:val="nl-NL"/>
        </w:rPr>
        <w:t xml:space="preserve">(art. 24) </w:t>
      </w:r>
      <w:r w:rsidR="002F23B7">
        <w:rPr>
          <w:lang w:val="nl-NL"/>
        </w:rPr>
        <w:t>is essentieel om</w:t>
      </w:r>
      <w:r w:rsidR="00C60D80" w:rsidRPr="00BC74EF">
        <w:rPr>
          <w:lang w:val="nl-NL"/>
        </w:rPr>
        <w:t xml:space="preserve"> </w:t>
      </w:r>
      <w:r w:rsidR="003C5AB4" w:rsidRPr="00BC74EF">
        <w:rPr>
          <w:lang w:val="nl-NL"/>
        </w:rPr>
        <w:t>personen met een handicap</w:t>
      </w:r>
      <w:bookmarkStart w:id="38" w:name="_Hlk104039247"/>
      <w:r w:rsidR="003C5AB4" w:rsidRPr="00BC74EF">
        <w:rPr>
          <w:lang w:val="nl-NL"/>
        </w:rPr>
        <w:t xml:space="preserve"> </w:t>
      </w:r>
      <w:r w:rsidR="002F23B7">
        <w:rPr>
          <w:lang w:val="nl-NL"/>
        </w:rPr>
        <w:t xml:space="preserve">in staat te stellen </w:t>
      </w:r>
      <w:r w:rsidR="003C5AB4" w:rsidRPr="00BC74EF">
        <w:rPr>
          <w:lang w:val="nl-NL"/>
        </w:rPr>
        <w:t xml:space="preserve">hun recht op </w:t>
      </w:r>
      <w:r w:rsidR="00AF1864" w:rsidRPr="00BC74EF">
        <w:rPr>
          <w:lang w:val="nl-NL"/>
        </w:rPr>
        <w:t xml:space="preserve">vrij gekozen </w:t>
      </w:r>
      <w:r w:rsidR="003C5AB4" w:rsidRPr="00BC74EF">
        <w:rPr>
          <w:lang w:val="nl-NL"/>
        </w:rPr>
        <w:t xml:space="preserve">werk </w:t>
      </w:r>
      <w:r w:rsidR="00AF1864" w:rsidRPr="00BC74EF">
        <w:rPr>
          <w:lang w:val="nl-NL"/>
        </w:rPr>
        <w:t xml:space="preserve">en werkgelegenheid op voet van gelijkheid met anderen kunnen </w:t>
      </w:r>
      <w:r w:rsidR="003C5AB4" w:rsidRPr="00BC74EF">
        <w:rPr>
          <w:lang w:val="nl-NL"/>
        </w:rPr>
        <w:t>uitoefenen</w:t>
      </w:r>
      <w:bookmarkEnd w:id="38"/>
      <w:r w:rsidR="003C5AB4" w:rsidRPr="00BC74EF">
        <w:rPr>
          <w:lang w:val="nl-NL"/>
        </w:rPr>
        <w:t xml:space="preserve">. </w:t>
      </w:r>
      <w:r w:rsidR="002F23B7">
        <w:rPr>
          <w:lang w:val="nl-NL"/>
        </w:rPr>
        <w:t>Kwaliteitsvol i</w:t>
      </w:r>
      <w:r w:rsidR="003C5AB4" w:rsidRPr="00BC74EF">
        <w:rPr>
          <w:lang w:val="nl-NL"/>
        </w:rPr>
        <w:t xml:space="preserve">nclusief onderwijs bereidt personen met een handicap voor op werk </w:t>
      </w:r>
      <w:r w:rsidR="00C60D80" w:rsidRPr="00BC74EF">
        <w:rPr>
          <w:lang w:val="nl-NL"/>
        </w:rPr>
        <w:t xml:space="preserve">en werkgelegenheid </w:t>
      </w:r>
      <w:r w:rsidR="003C5AB4" w:rsidRPr="00BC74EF">
        <w:rPr>
          <w:lang w:val="nl-NL"/>
        </w:rPr>
        <w:t xml:space="preserve">door de verwerving van de kennis, de vaardigheden en het vertrouwen die nodig zijn voor deelname aan de </w:t>
      </w:r>
      <w:r w:rsidR="00A02B39">
        <w:rPr>
          <w:lang w:val="nl-NL"/>
        </w:rPr>
        <w:t>reguliere</w:t>
      </w:r>
      <w:r w:rsidR="003C5AB4" w:rsidRPr="00BC74EF">
        <w:rPr>
          <w:lang w:val="nl-NL"/>
        </w:rPr>
        <w:t xml:space="preserve"> arbeidsmarkt</w:t>
      </w:r>
      <w:r w:rsidR="00CA6887" w:rsidRPr="00BC74EF">
        <w:rPr>
          <w:lang w:val="nl-NL"/>
        </w:rPr>
        <w:t>.</w:t>
      </w:r>
      <w:r w:rsidR="003C5AB4" w:rsidRPr="00BC74EF">
        <w:rPr>
          <w:rStyle w:val="Voetnootmarkering"/>
          <w:lang w:val="nl-NL"/>
        </w:rPr>
        <w:footnoteReference w:id="62"/>
      </w:r>
      <w:r w:rsidR="003C6AA5" w:rsidRPr="00BC74EF">
        <w:rPr>
          <w:iCs/>
          <w:lang w:val="nl-NL"/>
        </w:rPr>
        <w:t xml:space="preserve"> Een derde van de niet-schoolgaande kinderen wereldwijd zijn </w:t>
      </w:r>
      <w:r w:rsidR="003C6AA5" w:rsidRPr="00BC74EF">
        <w:rPr>
          <w:lang w:val="nl-NL"/>
        </w:rPr>
        <w:t xml:space="preserve">echter </w:t>
      </w:r>
      <w:r w:rsidR="003C6AA5" w:rsidRPr="00BC74EF">
        <w:rPr>
          <w:iCs/>
          <w:lang w:val="nl-NL"/>
        </w:rPr>
        <w:t xml:space="preserve">kinderen met een handicap. Hoewel veel regeringen inclusief onderwijs </w:t>
      </w:r>
      <w:r w:rsidR="00A02B39">
        <w:rPr>
          <w:iCs/>
          <w:lang w:val="nl-NL"/>
        </w:rPr>
        <w:t xml:space="preserve">officieel </w:t>
      </w:r>
      <w:r w:rsidR="003C6AA5" w:rsidRPr="00BC74EF">
        <w:rPr>
          <w:iCs/>
          <w:lang w:val="nl-NL"/>
        </w:rPr>
        <w:t>bevorderen, worden kinderen met een handicap, vooral meisjes, in de praktijk uitgesloten of afgezonderd in speciale scholen</w:t>
      </w:r>
      <w:r w:rsidR="00A02B39">
        <w:rPr>
          <w:iCs/>
          <w:lang w:val="nl-NL"/>
        </w:rPr>
        <w:t>,</w:t>
      </w:r>
      <w:r w:rsidR="003C6AA5" w:rsidRPr="00BC74EF">
        <w:rPr>
          <w:iCs/>
          <w:vertAlign w:val="superscript"/>
          <w:lang w:val="nl-NL"/>
        </w:rPr>
        <w:footnoteReference w:id="63"/>
      </w:r>
      <w:r w:rsidR="0073651A" w:rsidRPr="00BC74EF">
        <w:rPr>
          <w:iCs/>
          <w:lang w:val="nl-NL"/>
        </w:rPr>
        <w:t xml:space="preserve"> </w:t>
      </w:r>
      <w:r w:rsidR="00A02B39">
        <w:rPr>
          <w:iCs/>
          <w:lang w:val="nl-NL"/>
        </w:rPr>
        <w:t xml:space="preserve">hetgeen later </w:t>
      </w:r>
      <w:r w:rsidR="0073651A" w:rsidRPr="00BC74EF">
        <w:rPr>
          <w:iCs/>
          <w:lang w:val="nl-NL"/>
        </w:rPr>
        <w:t xml:space="preserve">een negatieve invloed </w:t>
      </w:r>
      <w:r w:rsidR="00A02B39">
        <w:rPr>
          <w:iCs/>
          <w:lang w:val="nl-NL"/>
        </w:rPr>
        <w:t xml:space="preserve">zal hebben </w:t>
      </w:r>
      <w:r w:rsidR="0073651A" w:rsidRPr="00BC74EF">
        <w:rPr>
          <w:iCs/>
          <w:lang w:val="nl-NL"/>
        </w:rPr>
        <w:t xml:space="preserve">op het recht op vrij gekozen werk en werkgelegenheid op voet van gelijkheid met anderen. </w:t>
      </w:r>
      <w:r w:rsidR="003C5AB4" w:rsidRPr="00BC74EF">
        <w:rPr>
          <w:lang w:val="nl-NL"/>
        </w:rPr>
        <w:t xml:space="preserve">De overgang van secundair of tertiair onderwijs naar </w:t>
      </w:r>
      <w:r w:rsidR="00CA6887" w:rsidRPr="00BC74EF">
        <w:rPr>
          <w:lang w:val="nl-NL"/>
        </w:rPr>
        <w:t xml:space="preserve">werk moet </w:t>
      </w:r>
      <w:r w:rsidR="003C5AB4" w:rsidRPr="00BC74EF">
        <w:rPr>
          <w:lang w:val="nl-NL"/>
        </w:rPr>
        <w:t xml:space="preserve">bijzondere aandacht krijgen om het recht op werk </w:t>
      </w:r>
      <w:r w:rsidR="00A02B39">
        <w:rPr>
          <w:lang w:val="nl-NL"/>
        </w:rPr>
        <w:t>gestalte te geven</w:t>
      </w:r>
      <w:r w:rsidR="003C5AB4" w:rsidRPr="00BC74EF">
        <w:rPr>
          <w:lang w:val="nl-NL"/>
        </w:rPr>
        <w:t xml:space="preserve">. Het is belangrijk </w:t>
      </w:r>
      <w:r w:rsidR="00A02B39">
        <w:rPr>
          <w:lang w:val="nl-NL"/>
        </w:rPr>
        <w:t>erop toe te zien</w:t>
      </w:r>
      <w:r w:rsidR="003C5AB4" w:rsidRPr="00BC74EF">
        <w:rPr>
          <w:lang w:val="nl-NL"/>
        </w:rPr>
        <w:t xml:space="preserve"> dat </w:t>
      </w:r>
      <w:r w:rsidR="008E3E78" w:rsidRPr="00BC74EF">
        <w:rPr>
          <w:lang w:val="nl-NL"/>
        </w:rPr>
        <w:t xml:space="preserve">trajecten naar de </w:t>
      </w:r>
      <w:r w:rsidR="00A02B39">
        <w:rPr>
          <w:lang w:val="nl-NL"/>
        </w:rPr>
        <w:t>reguliere</w:t>
      </w:r>
      <w:r w:rsidR="008E3E78" w:rsidRPr="00BC74EF">
        <w:rPr>
          <w:lang w:val="nl-NL"/>
        </w:rPr>
        <w:t xml:space="preserve"> arbeidsmarkt voor </w:t>
      </w:r>
      <w:r w:rsidR="003C5AB4" w:rsidRPr="00BC74EF">
        <w:rPr>
          <w:lang w:val="nl-NL"/>
        </w:rPr>
        <w:t xml:space="preserve">personen met een handicap </w:t>
      </w:r>
      <w:r w:rsidR="008E3E78" w:rsidRPr="00BC74EF">
        <w:rPr>
          <w:lang w:val="nl-NL"/>
        </w:rPr>
        <w:t xml:space="preserve">worden bevorderd en dat zij niet </w:t>
      </w:r>
      <w:r w:rsidR="003C5AB4" w:rsidRPr="00BC74EF">
        <w:rPr>
          <w:lang w:val="nl-NL"/>
        </w:rPr>
        <w:t xml:space="preserve">in een gesegregeerde werkomgeving terechtkomen. Levenslang leren is een </w:t>
      </w:r>
      <w:r w:rsidR="00A02B39">
        <w:rPr>
          <w:lang w:val="nl-NL"/>
        </w:rPr>
        <w:t xml:space="preserve">sleutelelement </w:t>
      </w:r>
      <w:r w:rsidR="003C5AB4" w:rsidRPr="00BC74EF">
        <w:rPr>
          <w:lang w:val="nl-NL"/>
        </w:rPr>
        <w:t xml:space="preserve">om de loopbaanontwikkeling van personen met een handicap te </w:t>
      </w:r>
      <w:r w:rsidR="00A02B39">
        <w:rPr>
          <w:lang w:val="nl-NL"/>
        </w:rPr>
        <w:t>waarborgen</w:t>
      </w:r>
      <w:r w:rsidR="00CA6887" w:rsidRPr="00BC74EF">
        <w:rPr>
          <w:lang w:val="nl-NL"/>
        </w:rPr>
        <w:t xml:space="preserve"> </w:t>
      </w:r>
      <w:r w:rsidR="003C5AB4" w:rsidRPr="00BC74EF">
        <w:rPr>
          <w:lang w:val="nl-NL"/>
        </w:rPr>
        <w:t xml:space="preserve">en te </w:t>
      </w:r>
      <w:r w:rsidR="00CA6887" w:rsidRPr="00BC74EF">
        <w:rPr>
          <w:lang w:val="nl-NL"/>
        </w:rPr>
        <w:t>bevorderen.</w:t>
      </w:r>
    </w:p>
    <w:p w14:paraId="732B0AE7" w14:textId="57BE7A5C" w:rsidR="00F6202B" w:rsidRPr="00BC74EF" w:rsidRDefault="00AC77AC">
      <w:pPr>
        <w:pStyle w:val="SingleTxtG"/>
        <w:tabs>
          <w:tab w:val="clear" w:pos="2268"/>
        </w:tabs>
        <w:rPr>
          <w:lang w:val="nl-NL"/>
        </w:rPr>
      </w:pPr>
      <w:r w:rsidRPr="00BC74EF">
        <w:rPr>
          <w:lang w:val="nl-NL"/>
        </w:rPr>
        <w:t>7</w:t>
      </w:r>
      <w:r w:rsidR="00ED6C60">
        <w:rPr>
          <w:lang w:val="nl-NL"/>
        </w:rPr>
        <w:t>7</w:t>
      </w:r>
      <w:r w:rsidR="0006414B" w:rsidRPr="00BC74EF">
        <w:rPr>
          <w:lang w:val="nl-NL"/>
        </w:rPr>
        <w:t>.</w:t>
      </w:r>
      <w:r w:rsidR="0006414B" w:rsidRPr="00BC74EF">
        <w:rPr>
          <w:lang w:val="nl-NL"/>
        </w:rPr>
        <w:tab/>
      </w:r>
      <w:r w:rsidR="00EA7EB6" w:rsidRPr="00BC74EF">
        <w:rPr>
          <w:lang w:val="nl-NL"/>
        </w:rPr>
        <w:t>Werkgevers hebben de fundamentele verantwoordelijkheid om de gezondheid en veiligheid van werknemers te beschermen</w:t>
      </w:r>
      <w:r w:rsidR="00A02B39">
        <w:rPr>
          <w:lang w:val="nl-NL"/>
        </w:rPr>
        <w:t xml:space="preserve"> (art. 25)</w:t>
      </w:r>
      <w:r w:rsidR="00EA7EB6" w:rsidRPr="00BC74EF">
        <w:rPr>
          <w:lang w:val="nl-NL"/>
        </w:rPr>
        <w:t xml:space="preserve">. Het </w:t>
      </w:r>
      <w:r w:rsidR="00A02B39">
        <w:rPr>
          <w:lang w:val="nl-NL"/>
        </w:rPr>
        <w:t>V</w:t>
      </w:r>
      <w:r w:rsidR="00EA7EB6" w:rsidRPr="00BC74EF">
        <w:rPr>
          <w:lang w:val="nl-NL"/>
        </w:rPr>
        <w:t xml:space="preserve">erdrag erkent dat </w:t>
      </w:r>
      <w:r w:rsidR="00AF7C95" w:rsidRPr="00BC74EF">
        <w:rPr>
          <w:lang w:val="nl-NL"/>
        </w:rPr>
        <w:t xml:space="preserve">alomvattende habilitatie- en revalidatiediensten en -programma's (art. 26) van vitaal belang zijn voor de werkgelegenheid van </w:t>
      </w:r>
      <w:r w:rsidR="00A02B39">
        <w:rPr>
          <w:lang w:val="nl-NL"/>
        </w:rPr>
        <w:t>personen met een handicap</w:t>
      </w:r>
      <w:r w:rsidR="00AF7C95" w:rsidRPr="00BC74EF">
        <w:rPr>
          <w:lang w:val="nl-NL"/>
        </w:rPr>
        <w:t xml:space="preserve">. </w:t>
      </w:r>
      <w:r w:rsidR="00332B31" w:rsidRPr="00BC74EF">
        <w:rPr>
          <w:lang w:val="nl-NL"/>
        </w:rPr>
        <w:t xml:space="preserve">Wanneer personen met een handicap </w:t>
      </w:r>
      <w:r w:rsidR="00A02B39">
        <w:rPr>
          <w:lang w:val="nl-NL"/>
        </w:rPr>
        <w:t xml:space="preserve">op het werk </w:t>
      </w:r>
      <w:r w:rsidR="00332B31" w:rsidRPr="00BC74EF">
        <w:rPr>
          <w:lang w:val="nl-NL"/>
        </w:rPr>
        <w:t xml:space="preserve">gewond raken of wanneer een persoon </w:t>
      </w:r>
      <w:r w:rsidR="00A02B39">
        <w:rPr>
          <w:lang w:val="nl-NL"/>
        </w:rPr>
        <w:t xml:space="preserve">door het werk </w:t>
      </w:r>
      <w:r w:rsidR="00332B31" w:rsidRPr="00BC74EF">
        <w:rPr>
          <w:lang w:val="nl-NL"/>
        </w:rPr>
        <w:t>een handicap krijgt</w:t>
      </w:r>
      <w:r w:rsidR="007D40F7" w:rsidRPr="00BC74EF">
        <w:rPr>
          <w:lang w:val="nl-NL"/>
        </w:rPr>
        <w:t xml:space="preserve">, is het van essentieel belang dat bij </w:t>
      </w:r>
      <w:r w:rsidR="003C5AB4" w:rsidRPr="00BC74EF">
        <w:rPr>
          <w:lang w:val="nl-NL"/>
        </w:rPr>
        <w:t xml:space="preserve">revalidatie- en terugkeermaatregelen de keuze en voorkeuren van de </w:t>
      </w:r>
      <w:r w:rsidR="00A02B39">
        <w:rPr>
          <w:lang w:val="nl-NL"/>
        </w:rPr>
        <w:t>betrokkene</w:t>
      </w:r>
      <w:r w:rsidR="003C5AB4" w:rsidRPr="00BC74EF">
        <w:rPr>
          <w:lang w:val="nl-NL"/>
        </w:rPr>
        <w:t xml:space="preserve"> volledig worden gerespecteerd </w:t>
      </w:r>
      <w:r w:rsidR="0013694B" w:rsidRPr="00BC74EF">
        <w:rPr>
          <w:lang w:val="nl-NL"/>
        </w:rPr>
        <w:t>en dat deze maatregelen niet worden gebruikt om werkgelegenheid in gesegregeerde werkomgevingen te bevorderen</w:t>
      </w:r>
      <w:r w:rsidR="003C5AB4" w:rsidRPr="00BC74EF">
        <w:rPr>
          <w:lang w:val="nl-NL"/>
        </w:rPr>
        <w:t xml:space="preserve">. </w:t>
      </w:r>
    </w:p>
    <w:p w14:paraId="554E290B" w14:textId="3F4F0CE4" w:rsidR="00F6202B" w:rsidRPr="00BC74EF" w:rsidRDefault="00AC77AC">
      <w:pPr>
        <w:tabs>
          <w:tab w:val="left" w:pos="1701"/>
          <w:tab w:val="left" w:pos="2268"/>
        </w:tabs>
        <w:spacing w:after="120"/>
        <w:ind w:left="1134" w:right="1134"/>
        <w:jc w:val="both"/>
        <w:rPr>
          <w:i/>
          <w:iCs/>
          <w:lang w:val="nl-NL"/>
        </w:rPr>
      </w:pPr>
      <w:r w:rsidRPr="00BC74EF">
        <w:rPr>
          <w:lang w:val="nl-NL"/>
        </w:rPr>
        <w:t>7</w:t>
      </w:r>
      <w:r w:rsidR="00ED6C60">
        <w:rPr>
          <w:lang w:val="nl-NL"/>
        </w:rPr>
        <w:t>8</w:t>
      </w:r>
      <w:r w:rsidRPr="00BC74EF">
        <w:rPr>
          <w:lang w:val="nl-NL"/>
        </w:rPr>
        <w:t>.</w:t>
      </w:r>
      <w:r w:rsidR="0006414B" w:rsidRPr="00BC74EF">
        <w:rPr>
          <w:lang w:val="nl-NL"/>
        </w:rPr>
        <w:tab/>
      </w:r>
      <w:r w:rsidR="00A20016">
        <w:rPr>
          <w:lang w:val="nl-NL"/>
        </w:rPr>
        <w:t>Personen met een handicap</w:t>
      </w:r>
      <w:r w:rsidR="000340D0" w:rsidRPr="00BC74EF">
        <w:rPr>
          <w:lang w:val="nl-NL"/>
        </w:rPr>
        <w:t xml:space="preserve"> hebben recht op sociale bescherming (art. 28) ter dekking van het verlies of het gebrek aan inkomsten ten gevolge van het onvermogen om op voet van gelijkheid met anderen vrijelijk gekozen arbeid te verkrijgen of te behouden. </w:t>
      </w:r>
      <w:r w:rsidR="002D6755" w:rsidRPr="00BC74EF">
        <w:rPr>
          <w:lang w:val="nl-NL"/>
        </w:rPr>
        <w:t xml:space="preserve">Het stelsel van sociale </w:t>
      </w:r>
      <w:r w:rsidR="001930B5" w:rsidRPr="00BC74EF">
        <w:rPr>
          <w:lang w:val="nl-NL"/>
        </w:rPr>
        <w:t xml:space="preserve">bescherming </w:t>
      </w:r>
      <w:r w:rsidR="002D6755" w:rsidRPr="00BC74EF">
        <w:rPr>
          <w:lang w:val="nl-NL"/>
        </w:rPr>
        <w:t xml:space="preserve">moet zorgen voor </w:t>
      </w:r>
      <w:r w:rsidR="000340D0" w:rsidRPr="00BC74EF">
        <w:rPr>
          <w:lang w:val="nl-NL"/>
        </w:rPr>
        <w:t xml:space="preserve">adequate bescherming van de werkloze werknemer </w:t>
      </w:r>
      <w:r w:rsidR="002D6755" w:rsidRPr="00BC74EF">
        <w:rPr>
          <w:lang w:val="nl-NL"/>
        </w:rPr>
        <w:t xml:space="preserve">met een handicap op voet van gelijkheid met anderen. </w:t>
      </w:r>
      <w:r w:rsidR="00183700" w:rsidRPr="00BC74EF">
        <w:rPr>
          <w:lang w:val="nl-NL"/>
        </w:rPr>
        <w:t xml:space="preserve">Deze sociale bescherming strekt zich uit tot </w:t>
      </w:r>
      <w:r w:rsidR="000340D0" w:rsidRPr="00BC74EF">
        <w:rPr>
          <w:lang w:val="nl-NL"/>
        </w:rPr>
        <w:t>deeltijdwerkers, tijdelijke werknemers, seizoenarbeiders</w:t>
      </w:r>
      <w:r w:rsidR="00A20016">
        <w:rPr>
          <w:lang w:val="nl-NL"/>
        </w:rPr>
        <w:t xml:space="preserve"> en</w:t>
      </w:r>
      <w:r w:rsidR="000340D0" w:rsidRPr="00BC74EF">
        <w:rPr>
          <w:lang w:val="nl-NL"/>
        </w:rPr>
        <w:t xml:space="preserve"> zelfstandigen </w:t>
      </w:r>
      <w:r w:rsidR="002D6755" w:rsidRPr="00BC74EF">
        <w:rPr>
          <w:lang w:val="nl-NL"/>
        </w:rPr>
        <w:t xml:space="preserve">met een handicap </w:t>
      </w:r>
      <w:r w:rsidR="000340D0" w:rsidRPr="00BC74EF">
        <w:rPr>
          <w:lang w:val="nl-NL"/>
        </w:rPr>
        <w:t xml:space="preserve">en </w:t>
      </w:r>
      <w:r w:rsidR="00A20016">
        <w:rPr>
          <w:lang w:val="nl-NL"/>
        </w:rPr>
        <w:t>tot personen met een handicap</w:t>
      </w:r>
      <w:r w:rsidR="000340D0" w:rsidRPr="00BC74EF">
        <w:rPr>
          <w:lang w:val="nl-NL"/>
        </w:rPr>
        <w:t xml:space="preserve"> die in de informele economie werken.</w:t>
      </w:r>
      <w:r w:rsidR="00974625">
        <w:rPr>
          <w:lang w:val="nl-NL"/>
        </w:rPr>
        <w:t xml:space="preserve"> </w:t>
      </w:r>
      <w:r w:rsidR="000340D0" w:rsidRPr="00BC74EF">
        <w:rPr>
          <w:lang w:val="nl-NL"/>
        </w:rPr>
        <w:t xml:space="preserve">De uitkeringen moeten </w:t>
      </w:r>
      <w:r w:rsidR="00070D63" w:rsidRPr="00BC74EF">
        <w:rPr>
          <w:lang w:val="nl-NL"/>
        </w:rPr>
        <w:t xml:space="preserve">de </w:t>
      </w:r>
      <w:r w:rsidR="00A20016">
        <w:rPr>
          <w:lang w:val="nl-NL"/>
        </w:rPr>
        <w:t>blijvende uitbetaling van tegemoetkomingen bevatten tot</w:t>
      </w:r>
      <w:r w:rsidR="00070D63" w:rsidRPr="00BC74EF">
        <w:rPr>
          <w:lang w:val="nl-NL"/>
        </w:rPr>
        <w:t xml:space="preserve"> duidelijk is dat het werk wordt voortgezet, en tevens </w:t>
      </w:r>
      <w:r w:rsidR="00183700" w:rsidRPr="00BC74EF">
        <w:rPr>
          <w:lang w:val="nl-NL"/>
        </w:rPr>
        <w:t xml:space="preserve">de </w:t>
      </w:r>
      <w:r w:rsidR="000340D0" w:rsidRPr="00BC74EF">
        <w:rPr>
          <w:lang w:val="nl-NL"/>
        </w:rPr>
        <w:t xml:space="preserve">perioden van inkomstenderving dekken </w:t>
      </w:r>
      <w:r w:rsidR="00A20016">
        <w:rPr>
          <w:lang w:val="nl-NL"/>
        </w:rPr>
        <w:t xml:space="preserve">voor </w:t>
      </w:r>
      <w:r w:rsidR="00FF1328" w:rsidRPr="00BC74EF">
        <w:rPr>
          <w:lang w:val="nl-NL"/>
        </w:rPr>
        <w:t xml:space="preserve">werknemers met een handicap </w:t>
      </w:r>
      <w:r w:rsidR="00A20016">
        <w:rPr>
          <w:lang w:val="nl-NL"/>
        </w:rPr>
        <w:t>die worden verzocht niet te gaan werken</w:t>
      </w:r>
      <w:r w:rsidR="000340D0" w:rsidRPr="00BC74EF">
        <w:rPr>
          <w:lang w:val="nl-NL"/>
        </w:rPr>
        <w:t xml:space="preserve"> tijdens een gezondheids- of andere noodsituatie.</w:t>
      </w:r>
      <w:r w:rsidR="00FF1328" w:rsidRPr="00BC74EF">
        <w:rPr>
          <w:rStyle w:val="Voetnootmarkering"/>
          <w:lang w:val="nl-NL"/>
        </w:rPr>
        <w:footnoteReference w:id="64"/>
      </w:r>
      <w:r w:rsidR="00070D63" w:rsidRPr="00BC74EF">
        <w:rPr>
          <w:lang w:val="nl-NL"/>
        </w:rPr>
        <w:t xml:space="preserve"> </w:t>
      </w:r>
      <w:r w:rsidR="00A20016">
        <w:rPr>
          <w:lang w:val="nl-NL"/>
        </w:rPr>
        <w:t>Bij beëindiging van het</w:t>
      </w:r>
      <w:r w:rsidR="00070D63" w:rsidRPr="00BC74EF">
        <w:rPr>
          <w:lang w:val="nl-NL"/>
        </w:rPr>
        <w:t xml:space="preserve"> dienstverband </w:t>
      </w:r>
      <w:r w:rsidR="00A951FD" w:rsidRPr="00BC74EF">
        <w:rPr>
          <w:lang w:val="nl-NL"/>
        </w:rPr>
        <w:t xml:space="preserve">moeten </w:t>
      </w:r>
      <w:r w:rsidR="00070D63" w:rsidRPr="00BC74EF">
        <w:rPr>
          <w:lang w:val="nl-NL"/>
        </w:rPr>
        <w:t>de betalingen</w:t>
      </w:r>
      <w:r w:rsidR="00A20016">
        <w:rPr>
          <w:lang w:val="nl-NL"/>
        </w:rPr>
        <w:t xml:space="preserve"> van de tegemoetkoming</w:t>
      </w:r>
      <w:r w:rsidR="00070D63" w:rsidRPr="00BC74EF">
        <w:rPr>
          <w:lang w:val="nl-NL"/>
        </w:rPr>
        <w:t xml:space="preserve"> onmiddellijk worden hervat. Steunbetalingen in verband met essentiële handicapgerelateerde uitgaven moeten worden voortgezet om werkgelegenheid op gelijke voet met anderen te waarborgen. </w:t>
      </w:r>
      <w:r w:rsidR="001930B5" w:rsidRPr="00BC74EF">
        <w:rPr>
          <w:lang w:val="nl-NL"/>
        </w:rPr>
        <w:t>De verstrekte steun moet ook betrekking hebben op personen</w:t>
      </w:r>
      <w:r w:rsidR="007D0422" w:rsidRPr="00BC74EF">
        <w:rPr>
          <w:lang w:val="nl-NL"/>
        </w:rPr>
        <w:t xml:space="preserve">, waaronder de primaire verzorgers </w:t>
      </w:r>
      <w:r w:rsidR="001930B5" w:rsidRPr="00BC74EF">
        <w:rPr>
          <w:lang w:val="nl-NL"/>
        </w:rPr>
        <w:t xml:space="preserve">(die voor het overgrote deel vrouwen zijn) </w:t>
      </w:r>
      <w:r w:rsidR="007D0422" w:rsidRPr="00BC74EF">
        <w:rPr>
          <w:lang w:val="nl-NL"/>
        </w:rPr>
        <w:t xml:space="preserve">en familieleden </w:t>
      </w:r>
      <w:r w:rsidR="001930B5" w:rsidRPr="00BC74EF">
        <w:rPr>
          <w:lang w:val="nl-NL"/>
        </w:rPr>
        <w:t>die personen met een handicap ondersteunen.</w:t>
      </w:r>
      <w:r w:rsidR="001930B5" w:rsidRPr="00BC74EF">
        <w:rPr>
          <w:rStyle w:val="Voetnootmarkering"/>
          <w:lang w:val="nl-NL"/>
        </w:rPr>
        <w:footnoteReference w:id="65"/>
      </w:r>
      <w:r w:rsidR="00ED474D" w:rsidRPr="00BC74EF">
        <w:rPr>
          <w:lang w:val="nl-NL" w:eastAsia="zh-CN"/>
        </w:rPr>
        <w:t xml:space="preserve"> Begrippen als "</w:t>
      </w:r>
      <w:r w:rsidR="00A20016">
        <w:rPr>
          <w:lang w:val="nl-NL" w:eastAsia="zh-CN"/>
        </w:rPr>
        <w:t>arbeidsongeschiktheid</w:t>
      </w:r>
      <w:r w:rsidR="00ED474D" w:rsidRPr="00BC74EF">
        <w:rPr>
          <w:lang w:val="nl-NL" w:eastAsia="zh-CN"/>
        </w:rPr>
        <w:t>"</w:t>
      </w:r>
      <w:r w:rsidR="00A20016">
        <w:rPr>
          <w:lang w:val="nl-NL" w:eastAsia="zh-CN"/>
        </w:rPr>
        <w:t xml:space="preserve"> en</w:t>
      </w:r>
      <w:r w:rsidR="00ED474D" w:rsidRPr="00BC74EF">
        <w:rPr>
          <w:lang w:val="nl-NL" w:eastAsia="zh-CN"/>
        </w:rPr>
        <w:t xml:space="preserve"> "</w:t>
      </w:r>
      <w:r w:rsidR="00A20016">
        <w:rPr>
          <w:lang w:val="nl-NL" w:eastAsia="zh-CN"/>
        </w:rPr>
        <w:t>arbeidsgeschiktheid</w:t>
      </w:r>
      <w:r w:rsidR="00ED474D" w:rsidRPr="00BC74EF">
        <w:rPr>
          <w:lang w:val="nl-NL" w:eastAsia="zh-CN"/>
        </w:rPr>
        <w:t xml:space="preserve">" </w:t>
      </w:r>
      <w:r w:rsidR="00A20016">
        <w:rPr>
          <w:lang w:val="nl-NL" w:eastAsia="zh-CN"/>
        </w:rPr>
        <w:t xml:space="preserve">horen niet thuis in het stelsel van de sociale bescherming. </w:t>
      </w:r>
      <w:r w:rsidR="00A20016" w:rsidRPr="00A20016">
        <w:rPr>
          <w:lang w:val="nl-NL" w:eastAsia="zh-CN"/>
        </w:rPr>
        <w:t>Gezien de verscheidenheid aan persoonlijke situaties, individuele behoeften en belemmeringen waarmee personen met een handicap worden geconfronteerd bij het vinden, behouden en hervatten van betaald werk, moeten de stelsels van sociale bescherming flexibel zijn en worden afgestemd op de situatie van elke persoon</w:t>
      </w:r>
      <w:r w:rsidR="00A20016" w:rsidRPr="002E3668">
        <w:rPr>
          <w:rStyle w:val="Voetnootmarkering"/>
          <w:color w:val="17365D" w:themeColor="text2" w:themeShade="BF"/>
          <w:lang w:val="nl-NL"/>
        </w:rPr>
        <w:footnoteReference w:id="66"/>
      </w:r>
      <w:r w:rsidR="00A20016" w:rsidRPr="00A20016">
        <w:rPr>
          <w:lang w:val="nl-NL" w:eastAsia="zh-CN"/>
        </w:rPr>
        <w:t>.</w:t>
      </w:r>
    </w:p>
    <w:p w14:paraId="32895ED8" w14:textId="2BB1BA56" w:rsidR="00F6202B" w:rsidRPr="00BC74EF" w:rsidRDefault="002755DB">
      <w:pPr>
        <w:pStyle w:val="SingleTxtG"/>
        <w:tabs>
          <w:tab w:val="clear" w:pos="1701"/>
          <w:tab w:val="clear" w:pos="2268"/>
        </w:tabs>
        <w:rPr>
          <w:lang w:val="nl-NL"/>
        </w:rPr>
      </w:pPr>
      <w:r w:rsidRPr="00BC74EF">
        <w:rPr>
          <w:lang w:val="nl-NL"/>
        </w:rPr>
        <w:tab/>
      </w:r>
      <w:r w:rsidR="00AC77AC" w:rsidRPr="00BC74EF">
        <w:rPr>
          <w:lang w:val="nl-NL"/>
        </w:rPr>
        <w:t>7</w:t>
      </w:r>
      <w:r w:rsidR="00ED6C60">
        <w:rPr>
          <w:lang w:val="nl-NL"/>
        </w:rPr>
        <w:t>9</w:t>
      </w:r>
      <w:r w:rsidR="003F5F6C" w:rsidRPr="00BC74EF">
        <w:rPr>
          <w:lang w:val="nl-NL"/>
        </w:rPr>
        <w:t>.</w:t>
      </w:r>
      <w:r w:rsidR="003F5F6C" w:rsidRPr="00BC74EF">
        <w:rPr>
          <w:lang w:val="nl-NL"/>
        </w:rPr>
        <w:tab/>
        <w:t>Collectieve onderhandelingen zijn van fundamenteel belang voor de formulering van het werkgelegenheidsbeleid.</w:t>
      </w:r>
      <w:r w:rsidR="003F5F6C" w:rsidRPr="00BC74EF">
        <w:rPr>
          <w:rStyle w:val="Voetnootmarkering"/>
          <w:lang w:val="nl-NL"/>
        </w:rPr>
        <w:footnoteReference w:id="67"/>
      </w:r>
      <w:r w:rsidR="003F5F6C" w:rsidRPr="00BC74EF">
        <w:rPr>
          <w:lang w:val="nl-NL"/>
        </w:rPr>
        <w:t xml:space="preserve"> </w:t>
      </w:r>
      <w:r w:rsidR="00A20016">
        <w:rPr>
          <w:lang w:val="nl-NL"/>
        </w:rPr>
        <w:t>V</w:t>
      </w:r>
      <w:r w:rsidR="003F5F6C" w:rsidRPr="00BC74EF">
        <w:rPr>
          <w:lang w:val="nl-NL"/>
        </w:rPr>
        <w:t>akbondsrechten gelden ook voor werknemers met een handicap. Artikel 27, lid 1, onder c), gelezen in samenhang met artikel 29 benadrukt het belang van het recht van</w:t>
      </w:r>
      <w:r w:rsidR="00FF34DA">
        <w:rPr>
          <w:lang w:val="nl-NL"/>
        </w:rPr>
        <w:t xml:space="preserve"> personen met een handicap </w:t>
      </w:r>
      <w:r w:rsidR="003F5F6C" w:rsidRPr="00BC74EF">
        <w:rPr>
          <w:lang w:val="nl-NL"/>
        </w:rPr>
        <w:t xml:space="preserve">om hun eigen organisaties op te richten. Willen deze organisaties effectief zijn bij "de bevordering en bescherming van [de] economische en sociale belangen" van </w:t>
      </w:r>
      <w:r w:rsidR="00580EFC">
        <w:rPr>
          <w:lang w:val="nl-NL"/>
        </w:rPr>
        <w:t>personen met een handicap</w:t>
      </w:r>
      <w:r w:rsidR="003F5F6C" w:rsidRPr="00BC74EF">
        <w:rPr>
          <w:lang w:val="nl-NL"/>
        </w:rPr>
        <w:t xml:space="preserve">, dan moeten zij regelmatig </w:t>
      </w:r>
      <w:r w:rsidR="003F5F6C" w:rsidRPr="00BC74EF">
        <w:rPr>
          <w:lang w:val="nl-NL"/>
        </w:rPr>
        <w:lastRenderedPageBreak/>
        <w:t>door overheidsinstanties en anderen worden geraadpleegd over alle aangelegenheden die hen aangaan. Het kan ook nodig zijn dat deze organisaties financiële steun krijgen om hun levensvatbaarheid te waarborgen.</w:t>
      </w:r>
      <w:r w:rsidR="003F5F6C" w:rsidRPr="00BC74EF">
        <w:rPr>
          <w:rStyle w:val="Voetnootmarkering"/>
          <w:lang w:val="nl-NL"/>
        </w:rPr>
        <w:footnoteReference w:id="68"/>
      </w:r>
    </w:p>
    <w:p w14:paraId="5B0841C2" w14:textId="01FF3937" w:rsidR="00F6202B" w:rsidRPr="00BC74EF" w:rsidRDefault="00ED6C60">
      <w:pPr>
        <w:pStyle w:val="SingleTxtG"/>
        <w:tabs>
          <w:tab w:val="clear" w:pos="2268"/>
        </w:tabs>
        <w:rPr>
          <w:lang w:val="nl-NL"/>
        </w:rPr>
      </w:pPr>
      <w:r>
        <w:rPr>
          <w:lang w:val="nl-NL"/>
        </w:rPr>
        <w:t>80</w:t>
      </w:r>
      <w:r w:rsidR="0006414B" w:rsidRPr="00BC74EF">
        <w:rPr>
          <w:lang w:val="nl-NL"/>
        </w:rPr>
        <w:t>.</w:t>
      </w:r>
      <w:r w:rsidR="0006414B" w:rsidRPr="00BC74EF">
        <w:rPr>
          <w:lang w:val="nl-NL"/>
        </w:rPr>
        <w:tab/>
      </w:r>
      <w:r w:rsidR="008A65C5" w:rsidRPr="00BC74EF">
        <w:rPr>
          <w:lang w:val="nl-NL"/>
        </w:rPr>
        <w:t>Het verzamelen en analyseren van gegevens (art. 31)</w:t>
      </w:r>
      <w:r w:rsidR="00046594" w:rsidRPr="00BC74EF">
        <w:rPr>
          <w:lang w:val="nl-NL"/>
        </w:rPr>
        <w:t xml:space="preserve">, uitgesplitst naar handicap, om alle vormen van discriminatie, inclusief meervoudige en intersectionele discriminatie, in kaart te brengen, is essentieel om de belemmeringen voor </w:t>
      </w:r>
      <w:r w:rsidR="004F2378">
        <w:rPr>
          <w:lang w:val="nl-NL"/>
        </w:rPr>
        <w:t xml:space="preserve">de </w:t>
      </w:r>
      <w:r w:rsidR="00046594" w:rsidRPr="00BC74EF">
        <w:rPr>
          <w:lang w:val="nl-NL"/>
        </w:rPr>
        <w:t xml:space="preserve">werkgelegenheid </w:t>
      </w:r>
      <w:r w:rsidR="0013694B" w:rsidRPr="00BC74EF">
        <w:rPr>
          <w:lang w:val="nl-NL"/>
        </w:rPr>
        <w:t xml:space="preserve">voor personen met een handicap </w:t>
      </w:r>
      <w:r w:rsidR="00046594" w:rsidRPr="00BC74EF">
        <w:rPr>
          <w:lang w:val="nl-NL"/>
        </w:rPr>
        <w:t xml:space="preserve">op gelijke voet met anderen </w:t>
      </w:r>
      <w:r w:rsidR="004F2378">
        <w:rPr>
          <w:lang w:val="nl-NL"/>
        </w:rPr>
        <w:t>in kaart te brengen</w:t>
      </w:r>
      <w:r w:rsidR="00046594" w:rsidRPr="00BC74EF">
        <w:rPr>
          <w:lang w:val="nl-NL"/>
        </w:rPr>
        <w:t xml:space="preserve">. </w:t>
      </w:r>
      <w:r w:rsidR="004F2378">
        <w:rPr>
          <w:lang w:val="nl-NL"/>
        </w:rPr>
        <w:t>Op basis van correct</w:t>
      </w:r>
      <w:r w:rsidR="00046594" w:rsidRPr="00BC74EF">
        <w:rPr>
          <w:lang w:val="nl-NL"/>
        </w:rPr>
        <w:t xml:space="preserve"> uitgesplitste gegevens </w:t>
      </w:r>
      <w:r w:rsidR="004F2378">
        <w:rPr>
          <w:lang w:val="nl-NL"/>
        </w:rPr>
        <w:t>kunnen</w:t>
      </w:r>
      <w:r w:rsidR="00046594" w:rsidRPr="00BC74EF">
        <w:rPr>
          <w:lang w:val="nl-NL"/>
        </w:rPr>
        <w:t xml:space="preserve"> ook </w:t>
      </w:r>
      <w:r w:rsidR="004F2378">
        <w:rPr>
          <w:lang w:val="nl-NL"/>
        </w:rPr>
        <w:t xml:space="preserve">mensen </w:t>
      </w:r>
      <w:r w:rsidR="0013694B" w:rsidRPr="00BC74EF">
        <w:rPr>
          <w:lang w:val="nl-NL"/>
        </w:rPr>
        <w:t xml:space="preserve">die in de informele economie werken en </w:t>
      </w:r>
      <w:r w:rsidR="00046594" w:rsidRPr="00BC74EF">
        <w:rPr>
          <w:lang w:val="nl-NL"/>
        </w:rPr>
        <w:t xml:space="preserve">de belemmeringen in verband met zelfstandige arbeid en ondernemerschap </w:t>
      </w:r>
      <w:r w:rsidR="004F2378">
        <w:rPr>
          <w:lang w:val="nl-NL"/>
        </w:rPr>
        <w:t>geïdentificeerd worden</w:t>
      </w:r>
      <w:r w:rsidR="00046594" w:rsidRPr="00BC74EF">
        <w:rPr>
          <w:lang w:val="nl-NL"/>
        </w:rPr>
        <w:t>.</w:t>
      </w:r>
    </w:p>
    <w:p w14:paraId="66CF9FA4" w14:textId="1326A61D" w:rsidR="00F6202B" w:rsidRPr="0067559B" w:rsidRDefault="00AC77AC" w:rsidP="0067559B">
      <w:pPr>
        <w:pStyle w:val="SingleTxtG"/>
        <w:rPr>
          <w:lang w:val="nl-NL"/>
        </w:rPr>
      </w:pPr>
      <w:r w:rsidRPr="00BC74EF">
        <w:rPr>
          <w:lang w:val="nl-NL"/>
        </w:rPr>
        <w:t>8</w:t>
      </w:r>
      <w:r w:rsidR="00ED6C60">
        <w:rPr>
          <w:lang w:val="nl-NL"/>
        </w:rPr>
        <w:t>1</w:t>
      </w:r>
      <w:r w:rsidR="0006414B" w:rsidRPr="00BC74EF">
        <w:rPr>
          <w:lang w:val="nl-NL"/>
        </w:rPr>
        <w:t>.</w:t>
      </w:r>
      <w:r w:rsidR="0006414B" w:rsidRPr="00BC74EF">
        <w:rPr>
          <w:lang w:val="nl-NL"/>
        </w:rPr>
        <w:tab/>
      </w:r>
      <w:r w:rsidR="004A46BA" w:rsidRPr="00BC74EF">
        <w:rPr>
          <w:lang w:val="nl-NL"/>
        </w:rPr>
        <w:t xml:space="preserve">Internationale samenwerking (art. 32) is essentieel </w:t>
      </w:r>
      <w:r w:rsidR="004F2378">
        <w:rPr>
          <w:lang w:val="nl-NL"/>
        </w:rPr>
        <w:t xml:space="preserve">ter ondersteuning van de </w:t>
      </w:r>
      <w:r w:rsidR="00FD3F15" w:rsidRPr="00BC74EF">
        <w:rPr>
          <w:lang w:val="nl-NL"/>
        </w:rPr>
        <w:t xml:space="preserve">nationale inspanningen </w:t>
      </w:r>
      <w:r w:rsidR="004F2378">
        <w:rPr>
          <w:lang w:val="nl-NL"/>
        </w:rPr>
        <w:t>voor</w:t>
      </w:r>
      <w:r w:rsidR="00650A95" w:rsidRPr="00BC74EF">
        <w:rPr>
          <w:lang w:val="nl-NL"/>
        </w:rPr>
        <w:t xml:space="preserve"> </w:t>
      </w:r>
      <w:r w:rsidR="003C5AB4" w:rsidRPr="00BC74EF">
        <w:rPr>
          <w:lang w:val="nl-NL"/>
        </w:rPr>
        <w:t>het recht op werk</w:t>
      </w:r>
      <w:r w:rsidR="004F2378">
        <w:rPr>
          <w:lang w:val="nl-NL"/>
        </w:rPr>
        <w:t>,</w:t>
      </w:r>
      <w:r w:rsidR="003C5AB4" w:rsidRPr="00BC74EF">
        <w:rPr>
          <w:lang w:val="nl-NL"/>
        </w:rPr>
        <w:t xml:space="preserve"> </w:t>
      </w:r>
      <w:r w:rsidR="00C52B47" w:rsidRPr="00BC74EF">
        <w:rPr>
          <w:lang w:val="nl-NL"/>
        </w:rPr>
        <w:t xml:space="preserve">en </w:t>
      </w:r>
      <w:r w:rsidR="0067559B">
        <w:rPr>
          <w:lang w:val="nl-NL"/>
        </w:rPr>
        <w:t>ter bevordering van</w:t>
      </w:r>
      <w:r w:rsidR="004F2378">
        <w:rPr>
          <w:lang w:val="nl-NL"/>
        </w:rPr>
        <w:t xml:space="preserve"> d</w:t>
      </w:r>
      <w:r w:rsidR="00C52B47" w:rsidRPr="00BC74EF">
        <w:rPr>
          <w:lang w:val="nl-NL"/>
        </w:rPr>
        <w:t>e 2030-doelstellingen voor duurzame ontwikkeling</w:t>
      </w:r>
      <w:r w:rsidR="008C10DD" w:rsidRPr="00BC74EF">
        <w:rPr>
          <w:lang w:val="nl-NL"/>
        </w:rPr>
        <w:t>, met name doelstelling 8.5</w:t>
      </w:r>
      <w:bookmarkStart w:id="40" w:name="_Hlk110259140"/>
      <w:r w:rsidR="004F2378">
        <w:rPr>
          <w:lang w:val="nl-NL"/>
        </w:rPr>
        <w:t xml:space="preserve">, die gericht is op </w:t>
      </w:r>
      <w:r w:rsidR="00052B79">
        <w:rPr>
          <w:lang w:val="nl-NL"/>
        </w:rPr>
        <w:t xml:space="preserve">de volledige en </w:t>
      </w:r>
      <w:r w:rsidR="004F2378" w:rsidRPr="00052B79">
        <w:rPr>
          <w:lang w:val="nl-NL"/>
        </w:rPr>
        <w:t xml:space="preserve">productieve tewerkstelling en waardig werk voor </w:t>
      </w:r>
      <w:r w:rsidR="0067559B">
        <w:rPr>
          <w:lang w:val="nl-NL"/>
        </w:rPr>
        <w:t>iedereen</w:t>
      </w:r>
      <w:r w:rsidR="004F2378" w:rsidRPr="00052B79">
        <w:rPr>
          <w:lang w:val="nl-NL"/>
        </w:rPr>
        <w:t>, alsook een gelijk loon voor werk van gelijke waarde</w:t>
      </w:r>
      <w:r w:rsidR="003C5AB4" w:rsidRPr="00BC74EF">
        <w:rPr>
          <w:lang w:val="nl-NL"/>
        </w:rPr>
        <w:t xml:space="preserve">. </w:t>
      </w:r>
      <w:r w:rsidR="000E2646" w:rsidRPr="00BC74EF">
        <w:rPr>
          <w:lang w:val="nl-NL"/>
        </w:rPr>
        <w:t xml:space="preserve">Voorts is internationale samenwerking essentieel om </w:t>
      </w:r>
      <w:r w:rsidR="0059009E" w:rsidRPr="00BC74EF">
        <w:rPr>
          <w:lang w:val="nl-NL"/>
        </w:rPr>
        <w:t xml:space="preserve">de ongelijke toegang tot ondersteunende technologieën </w:t>
      </w:r>
      <w:r w:rsidR="009221E9" w:rsidRPr="00BC74EF">
        <w:rPr>
          <w:lang w:val="nl-NL"/>
        </w:rPr>
        <w:t>in een omgeving met weinig middelen aan te pakken</w:t>
      </w:r>
      <w:r w:rsidR="0059009E" w:rsidRPr="00BC74EF">
        <w:rPr>
          <w:lang w:val="nl-NL"/>
        </w:rPr>
        <w:t>, zodat personen met een handicap op voet van gelijkheid met anderen aan de arbeidsmarkt kunnen deelnemen.</w:t>
      </w:r>
    </w:p>
    <w:bookmarkEnd w:id="40"/>
    <w:p w14:paraId="462C538F" w14:textId="357879ED" w:rsidR="00F6202B" w:rsidRPr="00BC74EF" w:rsidRDefault="002755DB">
      <w:pPr>
        <w:pStyle w:val="HChG"/>
        <w:rPr>
          <w:lang w:val="nl-NL"/>
        </w:rPr>
      </w:pPr>
      <w:r w:rsidRPr="00BC74EF">
        <w:rPr>
          <w:lang w:val="nl-NL"/>
        </w:rPr>
        <w:tab/>
        <w:t>VI.</w:t>
      </w:r>
      <w:r w:rsidRPr="00BC74EF">
        <w:rPr>
          <w:lang w:val="nl-NL"/>
        </w:rPr>
        <w:tab/>
      </w:r>
      <w:r w:rsidR="0067559B">
        <w:rPr>
          <w:lang w:val="nl-NL"/>
        </w:rPr>
        <w:t>Toepassing</w:t>
      </w:r>
      <w:r w:rsidR="003C5AB4" w:rsidRPr="00BC74EF">
        <w:rPr>
          <w:lang w:val="nl-NL"/>
        </w:rPr>
        <w:t xml:space="preserve"> op nationaal niveau</w:t>
      </w:r>
    </w:p>
    <w:p w14:paraId="2D8E6DE4" w14:textId="632C5F6D" w:rsidR="00F6202B" w:rsidRPr="00BC74EF" w:rsidRDefault="00AC77AC">
      <w:pPr>
        <w:pStyle w:val="SingleTxtG"/>
        <w:tabs>
          <w:tab w:val="clear" w:pos="2268"/>
        </w:tabs>
        <w:rPr>
          <w:lang w:val="nl-NL"/>
        </w:rPr>
      </w:pPr>
      <w:r w:rsidRPr="00BC74EF">
        <w:rPr>
          <w:lang w:val="nl-NL"/>
        </w:rPr>
        <w:t>8</w:t>
      </w:r>
      <w:r w:rsidR="00ED6C60">
        <w:rPr>
          <w:lang w:val="nl-NL"/>
        </w:rPr>
        <w:t>2</w:t>
      </w:r>
      <w:r w:rsidR="0006414B" w:rsidRPr="00BC74EF">
        <w:rPr>
          <w:lang w:val="nl-NL"/>
        </w:rPr>
        <w:t>.</w:t>
      </w:r>
      <w:r w:rsidR="0006414B" w:rsidRPr="00BC74EF">
        <w:rPr>
          <w:lang w:val="nl-NL"/>
        </w:rPr>
        <w:tab/>
      </w:r>
      <w:r w:rsidR="0067559B">
        <w:rPr>
          <w:lang w:val="nl-NL"/>
        </w:rPr>
        <w:t>Om</w:t>
      </w:r>
      <w:r w:rsidR="003C5AB4" w:rsidRPr="00BC74EF">
        <w:rPr>
          <w:lang w:val="nl-NL"/>
        </w:rPr>
        <w:t xml:space="preserve"> </w:t>
      </w:r>
      <w:r w:rsidR="004D031C" w:rsidRPr="00BC74EF">
        <w:rPr>
          <w:lang w:val="nl-NL"/>
        </w:rPr>
        <w:t xml:space="preserve">het </w:t>
      </w:r>
      <w:r w:rsidR="005207CD" w:rsidRPr="00BC74EF">
        <w:rPr>
          <w:lang w:val="nl-NL"/>
        </w:rPr>
        <w:t xml:space="preserve">recht op arbeid en werkgelegenheid op voet van gelijkheid met anderen te </w:t>
      </w:r>
      <w:r w:rsidR="004D031C" w:rsidRPr="00BC74EF">
        <w:rPr>
          <w:lang w:val="nl-NL"/>
        </w:rPr>
        <w:t xml:space="preserve">waarborgen, dienen de </w:t>
      </w:r>
      <w:r w:rsidR="003001A8">
        <w:rPr>
          <w:lang w:val="nl-NL"/>
        </w:rPr>
        <w:t>Staten die Partij</w:t>
      </w:r>
      <w:r w:rsidR="004D031C" w:rsidRPr="00BC74EF">
        <w:rPr>
          <w:lang w:val="nl-NL"/>
        </w:rPr>
        <w:t xml:space="preserve"> </w:t>
      </w:r>
      <w:r w:rsidR="0067559B">
        <w:rPr>
          <w:lang w:val="nl-NL"/>
        </w:rPr>
        <w:t xml:space="preserve">te voldoen aan de </w:t>
      </w:r>
      <w:r w:rsidR="005207CD" w:rsidRPr="00BC74EF">
        <w:rPr>
          <w:lang w:val="nl-NL"/>
        </w:rPr>
        <w:t xml:space="preserve">hierboven </w:t>
      </w:r>
      <w:r w:rsidR="0067559B">
        <w:rPr>
          <w:lang w:val="nl-NL"/>
        </w:rPr>
        <w:t xml:space="preserve">beschreven normen en verplichtingen, </w:t>
      </w:r>
      <w:r w:rsidR="005207CD" w:rsidRPr="00BC74EF">
        <w:rPr>
          <w:lang w:val="nl-NL"/>
        </w:rPr>
        <w:t xml:space="preserve">en tevens </w:t>
      </w:r>
      <w:r w:rsidR="003C5AB4" w:rsidRPr="00BC74EF">
        <w:rPr>
          <w:lang w:val="nl-NL"/>
        </w:rPr>
        <w:t>de volgende maatregelen te nemen om de volledige uitvoering van artikel 27 van het Verdrag te waarborgen:</w:t>
      </w:r>
    </w:p>
    <w:p w14:paraId="4C1A8E9B" w14:textId="4C130ABB" w:rsidR="00F6202B" w:rsidRPr="00BC74EF" w:rsidRDefault="002755DB">
      <w:pPr>
        <w:pStyle w:val="SingleTxtG"/>
        <w:tabs>
          <w:tab w:val="clear" w:pos="1701"/>
          <w:tab w:val="clear" w:pos="2268"/>
        </w:tabs>
        <w:ind w:firstLine="709"/>
        <w:rPr>
          <w:lang w:val="nl-NL"/>
        </w:rPr>
      </w:pPr>
      <w:r w:rsidRPr="00BC74EF">
        <w:rPr>
          <w:lang w:val="nl-NL"/>
        </w:rPr>
        <w:t>(a)</w:t>
      </w:r>
      <w:r w:rsidRPr="00BC74EF">
        <w:rPr>
          <w:lang w:val="nl-NL"/>
        </w:rPr>
        <w:tab/>
      </w:r>
      <w:r w:rsidR="00C435DB" w:rsidRPr="00BC74EF">
        <w:rPr>
          <w:lang w:val="nl-NL"/>
        </w:rPr>
        <w:t xml:space="preserve">Een alomvattende studie verrichten naar de gevolgen </w:t>
      </w:r>
      <w:r w:rsidR="003C5AB4" w:rsidRPr="00BC74EF">
        <w:rPr>
          <w:lang w:val="nl-NL"/>
        </w:rPr>
        <w:t xml:space="preserve">van </w:t>
      </w:r>
      <w:r w:rsidR="00F95F1D">
        <w:rPr>
          <w:lang w:val="nl-NL"/>
        </w:rPr>
        <w:t xml:space="preserve">validisme </w:t>
      </w:r>
      <w:r w:rsidR="00C435DB" w:rsidRPr="00BC74EF">
        <w:rPr>
          <w:lang w:val="nl-NL"/>
        </w:rPr>
        <w:t xml:space="preserve">voor het recht </w:t>
      </w:r>
      <w:r w:rsidR="0067559B">
        <w:rPr>
          <w:lang w:val="nl-NL"/>
        </w:rPr>
        <w:t xml:space="preserve">van personen met een handicap </w:t>
      </w:r>
      <w:r w:rsidR="00C435DB" w:rsidRPr="00BC74EF">
        <w:rPr>
          <w:lang w:val="nl-NL"/>
        </w:rPr>
        <w:t>op vrij gekozen werk en werkgelegenheid op voet van gelijkheid met anderen</w:t>
      </w:r>
      <w:r w:rsidR="0067559B">
        <w:rPr>
          <w:lang w:val="nl-NL"/>
        </w:rPr>
        <w:t>, met inbegrip van hun vermogen om in hun levensonderhoud te voorzien door middel van vrij gekozen werk</w:t>
      </w:r>
      <w:r w:rsidR="00C435DB" w:rsidRPr="00BC74EF">
        <w:rPr>
          <w:lang w:val="nl-NL"/>
        </w:rPr>
        <w:t>;</w:t>
      </w:r>
    </w:p>
    <w:p w14:paraId="31DDB4CA" w14:textId="3B76A1A7" w:rsidR="00F6202B" w:rsidRPr="00BC74EF" w:rsidRDefault="002755DB">
      <w:pPr>
        <w:pStyle w:val="SingleTxtG"/>
        <w:tabs>
          <w:tab w:val="clear" w:pos="1701"/>
          <w:tab w:val="clear" w:pos="2268"/>
        </w:tabs>
        <w:ind w:firstLine="709"/>
        <w:rPr>
          <w:lang w:val="nl-NL"/>
        </w:rPr>
      </w:pPr>
      <w:r w:rsidRPr="00BC74EF">
        <w:rPr>
          <w:lang w:val="nl-NL"/>
        </w:rPr>
        <w:t>(b)</w:t>
      </w:r>
      <w:r w:rsidRPr="00BC74EF">
        <w:rPr>
          <w:lang w:val="nl-NL"/>
        </w:rPr>
        <w:tab/>
      </w:r>
      <w:r w:rsidR="003C5AB4" w:rsidRPr="00BC74EF">
        <w:rPr>
          <w:lang w:val="nl-NL"/>
        </w:rPr>
        <w:t xml:space="preserve">studies </w:t>
      </w:r>
      <w:r w:rsidR="00650A95" w:rsidRPr="00BC74EF">
        <w:rPr>
          <w:lang w:val="nl-NL"/>
        </w:rPr>
        <w:t xml:space="preserve">verrichten </w:t>
      </w:r>
      <w:r w:rsidR="003C5AB4" w:rsidRPr="00BC74EF">
        <w:rPr>
          <w:lang w:val="nl-NL"/>
        </w:rPr>
        <w:t xml:space="preserve">naar belemmeringen </w:t>
      </w:r>
      <w:r w:rsidR="00650A95" w:rsidRPr="00BC74EF">
        <w:rPr>
          <w:lang w:val="nl-NL"/>
        </w:rPr>
        <w:t xml:space="preserve">voor de </w:t>
      </w:r>
      <w:r w:rsidR="003C5AB4" w:rsidRPr="00BC74EF">
        <w:rPr>
          <w:lang w:val="nl-NL"/>
        </w:rPr>
        <w:t xml:space="preserve">toegang </w:t>
      </w:r>
      <w:r w:rsidR="00650A95" w:rsidRPr="00BC74EF">
        <w:rPr>
          <w:lang w:val="nl-NL"/>
        </w:rPr>
        <w:t xml:space="preserve">van personen met een handicap tot </w:t>
      </w:r>
      <w:r w:rsidR="003C5AB4" w:rsidRPr="00BC74EF">
        <w:rPr>
          <w:lang w:val="nl-NL"/>
        </w:rPr>
        <w:t xml:space="preserve">het recht op werk, </w:t>
      </w:r>
      <w:r w:rsidR="008D4A16" w:rsidRPr="00BC74EF">
        <w:rPr>
          <w:lang w:val="nl-NL"/>
        </w:rPr>
        <w:t xml:space="preserve">gender- en </w:t>
      </w:r>
      <w:r w:rsidR="003C5AB4" w:rsidRPr="00BC74EF">
        <w:rPr>
          <w:lang w:val="nl-NL"/>
        </w:rPr>
        <w:t>leeftijds</w:t>
      </w:r>
      <w:r w:rsidR="00734AB5">
        <w:rPr>
          <w:lang w:val="nl-NL"/>
        </w:rPr>
        <w:t xml:space="preserve">gerelateerde </w:t>
      </w:r>
      <w:r w:rsidR="003C5AB4" w:rsidRPr="00BC74EF">
        <w:rPr>
          <w:lang w:val="nl-NL"/>
        </w:rPr>
        <w:t xml:space="preserve">problemen in kaart brengen waarmee personen met een handicap worden geconfronteerd </w:t>
      </w:r>
      <w:r w:rsidR="00F957B7" w:rsidRPr="00BC74EF">
        <w:rPr>
          <w:lang w:val="nl-NL"/>
        </w:rPr>
        <w:t xml:space="preserve">bij de </w:t>
      </w:r>
      <w:r w:rsidR="00734AB5">
        <w:rPr>
          <w:lang w:val="nl-NL"/>
        </w:rPr>
        <w:t>uitoefenin</w:t>
      </w:r>
      <w:r w:rsidR="00F957B7" w:rsidRPr="00BC74EF">
        <w:rPr>
          <w:lang w:val="nl-NL"/>
        </w:rPr>
        <w:t>g</w:t>
      </w:r>
      <w:r w:rsidR="003C5AB4" w:rsidRPr="00BC74EF">
        <w:rPr>
          <w:lang w:val="nl-NL"/>
        </w:rPr>
        <w:t xml:space="preserve"> van </w:t>
      </w:r>
      <w:r w:rsidR="008D4A16" w:rsidRPr="00BC74EF">
        <w:rPr>
          <w:lang w:val="nl-NL"/>
        </w:rPr>
        <w:t xml:space="preserve">dit </w:t>
      </w:r>
      <w:r w:rsidR="003C5AB4" w:rsidRPr="00BC74EF">
        <w:rPr>
          <w:lang w:val="nl-NL"/>
        </w:rPr>
        <w:t xml:space="preserve">recht, </w:t>
      </w:r>
      <w:r w:rsidR="00F957B7" w:rsidRPr="00BC74EF">
        <w:rPr>
          <w:lang w:val="nl-NL"/>
        </w:rPr>
        <w:t xml:space="preserve">en </w:t>
      </w:r>
      <w:r w:rsidR="003C5AB4" w:rsidRPr="00BC74EF">
        <w:rPr>
          <w:lang w:val="nl-NL"/>
        </w:rPr>
        <w:t xml:space="preserve">innovatieve praktijken en oplossingen belichten die voortvloeien uit </w:t>
      </w:r>
      <w:r w:rsidR="00F957B7" w:rsidRPr="00BC74EF">
        <w:rPr>
          <w:lang w:val="nl-NL"/>
        </w:rPr>
        <w:t xml:space="preserve">de </w:t>
      </w:r>
      <w:r w:rsidR="008D4A16" w:rsidRPr="00BC74EF">
        <w:rPr>
          <w:lang w:val="nl-NL"/>
        </w:rPr>
        <w:t xml:space="preserve">bescherming </w:t>
      </w:r>
      <w:r w:rsidR="003C5AB4" w:rsidRPr="00BC74EF">
        <w:rPr>
          <w:lang w:val="nl-NL"/>
        </w:rPr>
        <w:t xml:space="preserve">en </w:t>
      </w:r>
      <w:r w:rsidR="00F957B7" w:rsidRPr="00BC74EF">
        <w:rPr>
          <w:lang w:val="nl-NL"/>
        </w:rPr>
        <w:t xml:space="preserve">bevordering van </w:t>
      </w:r>
      <w:r w:rsidR="003C5AB4" w:rsidRPr="00BC74EF">
        <w:rPr>
          <w:lang w:val="nl-NL"/>
        </w:rPr>
        <w:t xml:space="preserve">het recht van personen met een handicap </w:t>
      </w:r>
      <w:r w:rsidR="00F957B7" w:rsidRPr="00BC74EF">
        <w:rPr>
          <w:lang w:val="nl-NL"/>
        </w:rPr>
        <w:t xml:space="preserve">op werk </w:t>
      </w:r>
      <w:r w:rsidR="008D4A16" w:rsidRPr="00BC74EF">
        <w:rPr>
          <w:lang w:val="nl-NL"/>
        </w:rPr>
        <w:t>en werkgelegenheid</w:t>
      </w:r>
      <w:r w:rsidR="003B7C1E" w:rsidRPr="00BC74EF">
        <w:rPr>
          <w:lang w:val="nl-NL"/>
        </w:rPr>
        <w:t>.</w:t>
      </w:r>
    </w:p>
    <w:p w14:paraId="216D731D" w14:textId="79B21C3F" w:rsidR="00F6202B" w:rsidRPr="00BC74EF" w:rsidRDefault="002755DB">
      <w:pPr>
        <w:pStyle w:val="SingleTxtG"/>
        <w:ind w:firstLine="709"/>
        <w:rPr>
          <w:lang w:val="nl-NL"/>
        </w:rPr>
      </w:pPr>
      <w:r w:rsidRPr="00BC74EF">
        <w:rPr>
          <w:lang w:val="nl-NL"/>
        </w:rPr>
        <w:t>(c)</w:t>
      </w:r>
      <w:r w:rsidRPr="00BC74EF">
        <w:rPr>
          <w:lang w:val="nl-NL"/>
        </w:rPr>
        <w:tab/>
      </w:r>
      <w:r w:rsidR="00734AB5" w:rsidRPr="00734AB5">
        <w:rPr>
          <w:lang w:val="nl-NL"/>
        </w:rPr>
        <w:t>bestaande nationale wetten, beleidsmaatregelen, programma's en praktijken op het gebied van werkgelegenheid toetsen en in overeenstemming brengen met de bepalingen van het Verdrag, discriminerende wet- en regelgeving die strijdig is met het Verdrag opheffen, gewoonten en praktijken die personen met een handicap discrimineren aanpassen of afschaffen, en een gedragscode inzake de tewerkstelling van personen met een handicap opstellen die moet dienen als stapsgewijze gids ter voorkoming van discriminatie van personen met een handicap op de arbeidsmarkt en op de werkplek, in nauw overleg met en actieve deelneming van personen met een handicap, met inbegrip van ondervertegenwoordigde groepen, via hun representatieve organisaties, in overeenstemming met artikel 4, lid 3, van het Verdrag. 3) van het Verdrag;</w:t>
      </w:r>
    </w:p>
    <w:p w14:paraId="7EE5EF2E" w14:textId="6A707BFE" w:rsidR="00F6202B" w:rsidRPr="00BC74EF" w:rsidRDefault="002755DB">
      <w:pPr>
        <w:pStyle w:val="SingleTxtG"/>
        <w:ind w:firstLine="709"/>
        <w:rPr>
          <w:lang w:val="nl-NL"/>
        </w:rPr>
      </w:pPr>
      <w:r w:rsidRPr="00BC74EF">
        <w:rPr>
          <w:lang w:val="nl-NL"/>
        </w:rPr>
        <w:t>(d)</w:t>
      </w:r>
      <w:r w:rsidRPr="00BC74EF">
        <w:rPr>
          <w:lang w:val="nl-NL"/>
        </w:rPr>
        <w:tab/>
      </w:r>
      <w:r w:rsidR="004B6F1F" w:rsidRPr="00BC74EF">
        <w:rPr>
          <w:lang w:val="nl-NL"/>
        </w:rPr>
        <w:t xml:space="preserve">Ervoor zorgen dat deze herziening de </w:t>
      </w:r>
      <w:r w:rsidR="00D96480" w:rsidRPr="00BC74EF">
        <w:rPr>
          <w:lang w:val="nl-NL"/>
        </w:rPr>
        <w:t xml:space="preserve">gehele </w:t>
      </w:r>
      <w:r w:rsidR="004B6F1F" w:rsidRPr="00BC74EF">
        <w:rPr>
          <w:lang w:val="nl-NL"/>
        </w:rPr>
        <w:t xml:space="preserve">openbare en particuliere </w:t>
      </w:r>
      <w:r w:rsidR="00D96480" w:rsidRPr="00BC74EF">
        <w:rPr>
          <w:lang w:val="nl-NL"/>
        </w:rPr>
        <w:t xml:space="preserve">sector </w:t>
      </w:r>
      <w:r w:rsidR="004B6F1F" w:rsidRPr="00BC74EF">
        <w:rPr>
          <w:lang w:val="nl-NL"/>
        </w:rPr>
        <w:t xml:space="preserve">bestrijkt, </w:t>
      </w:r>
      <w:r w:rsidR="008D4A16" w:rsidRPr="00BC74EF">
        <w:rPr>
          <w:lang w:val="nl-NL"/>
        </w:rPr>
        <w:t xml:space="preserve">en </w:t>
      </w:r>
      <w:r w:rsidR="00734AB5">
        <w:rPr>
          <w:lang w:val="nl-NL"/>
        </w:rPr>
        <w:t xml:space="preserve">onder meer tot doel heeft </w:t>
      </w:r>
      <w:r w:rsidR="00F3066D">
        <w:rPr>
          <w:lang w:val="nl-NL"/>
        </w:rPr>
        <w:t xml:space="preserve">ervoor te zorgen dat bij de opmaak, uitvoering en evaluatie van wetten, beleidsmaatregelen en programma’s rekening wordt gehouden met </w:t>
      </w:r>
      <w:r w:rsidR="00D96480" w:rsidRPr="00BC74EF">
        <w:rPr>
          <w:lang w:val="nl-NL"/>
        </w:rPr>
        <w:t xml:space="preserve"> </w:t>
      </w:r>
      <w:r w:rsidR="00D96480" w:rsidRPr="00BC74EF">
        <w:rPr>
          <w:bCs/>
          <w:lang w:val="nl-NL"/>
        </w:rPr>
        <w:t>gender-</w:t>
      </w:r>
      <w:r w:rsidR="00DC30A6" w:rsidRPr="00BC74EF">
        <w:rPr>
          <w:bCs/>
          <w:lang w:val="nl-NL"/>
        </w:rPr>
        <w:t xml:space="preserve">, leeftijds- </w:t>
      </w:r>
      <w:r w:rsidR="00D96480" w:rsidRPr="00BC74EF">
        <w:rPr>
          <w:bCs/>
          <w:lang w:val="nl-NL"/>
        </w:rPr>
        <w:t xml:space="preserve">en </w:t>
      </w:r>
      <w:r w:rsidR="00734AB5">
        <w:rPr>
          <w:bCs/>
          <w:lang w:val="nl-NL"/>
        </w:rPr>
        <w:t>handicap</w:t>
      </w:r>
      <w:r w:rsidR="00F3066D">
        <w:rPr>
          <w:bCs/>
          <w:lang w:val="nl-NL"/>
        </w:rPr>
        <w:t xml:space="preserve">gebonden </w:t>
      </w:r>
      <w:r w:rsidR="00D96480" w:rsidRPr="00BC74EF">
        <w:rPr>
          <w:bCs/>
          <w:lang w:val="nl-NL"/>
        </w:rPr>
        <w:t>perspectie</w:t>
      </w:r>
      <w:r w:rsidR="00F3066D">
        <w:rPr>
          <w:bCs/>
          <w:lang w:val="nl-NL"/>
        </w:rPr>
        <w:t>ven</w:t>
      </w:r>
      <w:r w:rsidR="005B7BD7" w:rsidRPr="00BC74EF">
        <w:rPr>
          <w:rStyle w:val="Voetnootmarkering"/>
          <w:bCs/>
          <w:lang w:val="nl-NL"/>
        </w:rPr>
        <w:footnoteReference w:id="69"/>
      </w:r>
      <w:r w:rsidR="00AE6894" w:rsidRPr="00BC74EF">
        <w:rPr>
          <w:lang w:val="nl-NL"/>
        </w:rPr>
        <w:t xml:space="preserve"> De evaluatie moet zich ook uitstrekken tot: de bevordering van </w:t>
      </w:r>
      <w:r w:rsidR="004B6F1F" w:rsidRPr="00BC74EF">
        <w:rPr>
          <w:lang w:val="nl-NL"/>
        </w:rPr>
        <w:t xml:space="preserve">werkgelegenheid voor jongeren; </w:t>
      </w:r>
      <w:r w:rsidR="00AE6894" w:rsidRPr="00BC74EF">
        <w:rPr>
          <w:lang w:val="nl-NL"/>
        </w:rPr>
        <w:t xml:space="preserve">gezondheids- en </w:t>
      </w:r>
      <w:r w:rsidR="004B6F1F" w:rsidRPr="00BC74EF">
        <w:rPr>
          <w:lang w:val="nl-NL"/>
        </w:rPr>
        <w:t xml:space="preserve">veiligheidsmaatregelen op het werk; bescherming tegen geweld, met inbegrip van </w:t>
      </w:r>
      <w:r w:rsidR="004B6F1F" w:rsidRPr="00BC74EF">
        <w:rPr>
          <w:lang w:val="nl-NL"/>
        </w:rPr>
        <w:lastRenderedPageBreak/>
        <w:t xml:space="preserve">gendergerelateerd geweld, intimidatie en dwangarbeid; </w:t>
      </w:r>
      <w:r w:rsidR="00613D24" w:rsidRPr="00BC74EF">
        <w:rPr>
          <w:lang w:val="nl-NL"/>
        </w:rPr>
        <w:t>en de overgang van de informele naar de formele economie;</w:t>
      </w:r>
    </w:p>
    <w:p w14:paraId="5615BB22" w14:textId="2A2566A1" w:rsidR="00F6202B" w:rsidRPr="00BC74EF" w:rsidRDefault="002755DB">
      <w:pPr>
        <w:pStyle w:val="SingleTxtG"/>
        <w:ind w:firstLine="709"/>
        <w:rPr>
          <w:lang w:val="nl-NL"/>
        </w:rPr>
      </w:pPr>
      <w:r w:rsidRPr="00BC74EF">
        <w:rPr>
          <w:lang w:val="nl-NL"/>
        </w:rPr>
        <w:t>(e)</w:t>
      </w:r>
      <w:r w:rsidRPr="00BC74EF">
        <w:rPr>
          <w:lang w:val="nl-NL"/>
        </w:rPr>
        <w:tab/>
        <w:t xml:space="preserve">een </w:t>
      </w:r>
      <w:r w:rsidR="00F3066D">
        <w:rPr>
          <w:lang w:val="nl-NL"/>
        </w:rPr>
        <w:t xml:space="preserve">nationale </w:t>
      </w:r>
      <w:r w:rsidRPr="00BC74EF">
        <w:rPr>
          <w:lang w:val="nl-NL"/>
        </w:rPr>
        <w:t>werkgelegenheidsstrategie en een actieplan ontwikkelen</w:t>
      </w:r>
      <w:r w:rsidR="00F3066D">
        <w:rPr>
          <w:lang w:val="nl-NL"/>
        </w:rPr>
        <w:t xml:space="preserve"> waarin </w:t>
      </w:r>
      <w:r w:rsidRPr="00BC74EF">
        <w:rPr>
          <w:lang w:val="nl-NL"/>
        </w:rPr>
        <w:t>personen met een handicap</w:t>
      </w:r>
      <w:r w:rsidR="00F3066D">
        <w:rPr>
          <w:lang w:val="nl-NL"/>
        </w:rPr>
        <w:t xml:space="preserve"> zijn opgenomen</w:t>
      </w:r>
      <w:r w:rsidR="000228BC">
        <w:rPr>
          <w:lang w:val="nl-NL"/>
        </w:rPr>
        <w:t>. Deze moeten</w:t>
      </w:r>
      <w:r w:rsidRPr="00BC74EF">
        <w:rPr>
          <w:lang w:val="nl-NL"/>
        </w:rPr>
        <w:t xml:space="preserve"> op basis van een participatief en transparant proces</w:t>
      </w:r>
      <w:r w:rsidR="00F3066D">
        <w:rPr>
          <w:lang w:val="nl-NL"/>
        </w:rPr>
        <w:t xml:space="preserve"> </w:t>
      </w:r>
      <w:r w:rsidR="00F3066D" w:rsidRPr="00BC74EF">
        <w:rPr>
          <w:lang w:val="nl-NL"/>
        </w:rPr>
        <w:t>worden opgesteld en herzien</w:t>
      </w:r>
      <w:r w:rsidRPr="00BC74EF">
        <w:rPr>
          <w:lang w:val="nl-NL"/>
        </w:rPr>
        <w:t xml:space="preserve">, en indicatoren en benchmarks </w:t>
      </w:r>
      <w:r w:rsidR="00F3066D">
        <w:rPr>
          <w:lang w:val="nl-NL"/>
        </w:rPr>
        <w:t xml:space="preserve">omvatten om de vooruitgang te </w:t>
      </w:r>
      <w:r w:rsidR="000228BC">
        <w:rPr>
          <w:lang w:val="nl-NL"/>
        </w:rPr>
        <w:t>monitoren</w:t>
      </w:r>
      <w:r w:rsidR="00F3066D">
        <w:rPr>
          <w:lang w:val="nl-NL"/>
        </w:rPr>
        <w:t>.</w:t>
      </w:r>
    </w:p>
    <w:p w14:paraId="1AB8F845" w14:textId="3D5466C3" w:rsidR="00F6202B" w:rsidRPr="00BC74EF" w:rsidRDefault="0059395F">
      <w:pPr>
        <w:pStyle w:val="SingleTxtG"/>
        <w:ind w:firstLine="709"/>
        <w:rPr>
          <w:lang w:val="nl-NL"/>
        </w:rPr>
      </w:pPr>
      <w:r w:rsidRPr="00BC74EF">
        <w:rPr>
          <w:lang w:val="nl-NL"/>
        </w:rPr>
        <w:t>(f)</w:t>
      </w:r>
      <w:r w:rsidRPr="00BC74EF">
        <w:rPr>
          <w:lang w:val="nl-NL"/>
        </w:rPr>
        <w:tab/>
      </w:r>
      <w:r w:rsidR="004B6F1F" w:rsidRPr="00BC74EF">
        <w:rPr>
          <w:lang w:val="nl-NL"/>
        </w:rPr>
        <w:t xml:space="preserve">ervoor zorgen dat </w:t>
      </w:r>
      <w:r w:rsidR="000228BC">
        <w:rPr>
          <w:lang w:val="nl-NL"/>
        </w:rPr>
        <w:t xml:space="preserve">met </w:t>
      </w:r>
      <w:r w:rsidR="00613D24" w:rsidRPr="00BC74EF">
        <w:rPr>
          <w:lang w:val="nl-NL"/>
        </w:rPr>
        <w:t xml:space="preserve">de bescherming </w:t>
      </w:r>
      <w:r w:rsidR="004B6F1F" w:rsidRPr="00BC74EF">
        <w:rPr>
          <w:lang w:val="nl-NL"/>
        </w:rPr>
        <w:t xml:space="preserve">en bevordering van het recht van personen met een handicap op werk </w:t>
      </w:r>
      <w:r w:rsidR="000228BC">
        <w:rPr>
          <w:lang w:val="nl-NL"/>
        </w:rPr>
        <w:t>rekening wordt gehouden</w:t>
      </w:r>
      <w:r w:rsidR="0074687F" w:rsidRPr="00BC74EF">
        <w:rPr>
          <w:lang w:val="nl-NL"/>
        </w:rPr>
        <w:t xml:space="preserve"> in </w:t>
      </w:r>
      <w:r w:rsidR="004B6F1F" w:rsidRPr="00BC74EF">
        <w:rPr>
          <w:lang w:val="nl-NL"/>
        </w:rPr>
        <w:t xml:space="preserve">opkomende </w:t>
      </w:r>
      <w:r w:rsidR="000228BC">
        <w:rPr>
          <w:lang w:val="nl-NL"/>
        </w:rPr>
        <w:t>sectoren</w:t>
      </w:r>
      <w:r w:rsidR="004B6F1F" w:rsidRPr="00BC74EF">
        <w:rPr>
          <w:lang w:val="nl-NL"/>
        </w:rPr>
        <w:t xml:space="preserve"> van werk en </w:t>
      </w:r>
      <w:r w:rsidR="00613D24" w:rsidRPr="00BC74EF">
        <w:rPr>
          <w:lang w:val="nl-NL"/>
        </w:rPr>
        <w:t>werkgelegenheid</w:t>
      </w:r>
      <w:r w:rsidR="004B6F1F" w:rsidRPr="00BC74EF">
        <w:rPr>
          <w:lang w:val="nl-NL"/>
        </w:rPr>
        <w:t xml:space="preserve">, waaronder: </w:t>
      </w:r>
      <w:r w:rsidR="0074687F" w:rsidRPr="00BC74EF">
        <w:rPr>
          <w:lang w:val="nl-NL"/>
        </w:rPr>
        <w:t xml:space="preserve">de </w:t>
      </w:r>
      <w:r w:rsidR="004B6F1F" w:rsidRPr="00BC74EF">
        <w:rPr>
          <w:lang w:val="nl-NL"/>
        </w:rPr>
        <w:t>digitale economie</w:t>
      </w:r>
      <w:r w:rsidR="0074687F" w:rsidRPr="00BC74EF">
        <w:rPr>
          <w:lang w:val="nl-NL"/>
        </w:rPr>
        <w:t xml:space="preserve">; telewerk; </w:t>
      </w:r>
      <w:r w:rsidR="004B6F1F" w:rsidRPr="00BC74EF">
        <w:rPr>
          <w:lang w:val="nl-NL"/>
        </w:rPr>
        <w:t xml:space="preserve">regulering van de </w:t>
      </w:r>
      <w:r w:rsidR="000228BC">
        <w:rPr>
          <w:lang w:val="nl-NL"/>
        </w:rPr>
        <w:t>taak</w:t>
      </w:r>
      <w:r w:rsidR="004B6F1F" w:rsidRPr="00BC74EF">
        <w:rPr>
          <w:lang w:val="nl-NL"/>
        </w:rPr>
        <w:t xml:space="preserve">- en platformeconomie, </w:t>
      </w:r>
      <w:r w:rsidR="000228BC">
        <w:rPr>
          <w:lang w:val="nl-NL"/>
        </w:rPr>
        <w:t xml:space="preserve">reactivering of werkhervatting na de </w:t>
      </w:r>
      <w:r w:rsidR="004B6F1F" w:rsidRPr="00BC74EF">
        <w:rPr>
          <w:lang w:val="nl-NL"/>
        </w:rPr>
        <w:t xml:space="preserve">crisis, overgang naar een groene economie, en gebruik van kunstmatige intelligentie </w:t>
      </w:r>
      <w:r w:rsidR="000228BC">
        <w:rPr>
          <w:lang w:val="nl-NL"/>
        </w:rPr>
        <w:t>in aanwervingsprocedures en op de werkplek</w:t>
      </w:r>
      <w:r w:rsidR="004B6F1F" w:rsidRPr="00BC74EF">
        <w:rPr>
          <w:lang w:val="nl-NL"/>
        </w:rPr>
        <w:t xml:space="preserve">; </w:t>
      </w:r>
    </w:p>
    <w:p w14:paraId="45193EA4" w14:textId="3939E812" w:rsidR="00F6202B" w:rsidRPr="00BC74EF" w:rsidRDefault="0059395F">
      <w:pPr>
        <w:pStyle w:val="SingleTxtG"/>
        <w:ind w:firstLine="709"/>
        <w:rPr>
          <w:lang w:val="nl-NL"/>
        </w:rPr>
      </w:pPr>
      <w:r w:rsidRPr="00BC74EF">
        <w:rPr>
          <w:lang w:val="nl-NL"/>
        </w:rPr>
        <w:t>(g)</w:t>
      </w:r>
      <w:r w:rsidRPr="00BC74EF">
        <w:rPr>
          <w:lang w:val="nl-NL"/>
        </w:rPr>
        <w:tab/>
      </w:r>
      <w:r w:rsidR="004B6F1F" w:rsidRPr="00BC74EF">
        <w:rPr>
          <w:lang w:val="nl-NL"/>
        </w:rPr>
        <w:t xml:space="preserve">ervoor zorgen dat de maatregelen </w:t>
      </w:r>
      <w:r w:rsidR="00613D24" w:rsidRPr="00BC74EF">
        <w:rPr>
          <w:lang w:val="nl-NL"/>
        </w:rPr>
        <w:t xml:space="preserve">ter bescherming </w:t>
      </w:r>
      <w:r w:rsidR="004B6F1F" w:rsidRPr="00BC74EF">
        <w:rPr>
          <w:lang w:val="nl-NL"/>
        </w:rPr>
        <w:t xml:space="preserve">en </w:t>
      </w:r>
      <w:r w:rsidR="001E4215" w:rsidRPr="00BC74EF">
        <w:rPr>
          <w:lang w:val="nl-NL"/>
        </w:rPr>
        <w:t xml:space="preserve">bevordering van </w:t>
      </w:r>
      <w:r w:rsidR="004B6F1F" w:rsidRPr="00BC74EF">
        <w:rPr>
          <w:lang w:val="nl-NL"/>
        </w:rPr>
        <w:t xml:space="preserve">het recht op werk </w:t>
      </w:r>
      <w:r w:rsidR="000228BC">
        <w:rPr>
          <w:lang w:val="nl-NL"/>
        </w:rPr>
        <w:t xml:space="preserve">rekening houden met </w:t>
      </w:r>
      <w:r w:rsidR="004B6F1F" w:rsidRPr="00BC74EF">
        <w:rPr>
          <w:lang w:val="nl-NL"/>
        </w:rPr>
        <w:t xml:space="preserve">de diversiteit van personen met een handicap, hun beroepservaring en hun vaardigheden </w:t>
      </w:r>
      <w:r w:rsidR="00B77CC3" w:rsidRPr="00BC74EF">
        <w:rPr>
          <w:lang w:val="nl-NL"/>
        </w:rPr>
        <w:t>erkennen</w:t>
      </w:r>
      <w:r w:rsidR="004B6F1F" w:rsidRPr="00BC74EF">
        <w:rPr>
          <w:lang w:val="nl-NL"/>
        </w:rPr>
        <w:t>;</w:t>
      </w:r>
      <w:r w:rsidR="000228BC">
        <w:rPr>
          <w:lang w:val="nl-NL"/>
        </w:rPr>
        <w:t xml:space="preserve"> </w:t>
      </w:r>
    </w:p>
    <w:p w14:paraId="7484EFAB" w14:textId="480D2C14" w:rsidR="00F6202B" w:rsidRPr="00F95F1D" w:rsidRDefault="002755DB">
      <w:pPr>
        <w:pStyle w:val="SingleTxtG"/>
        <w:ind w:firstLine="709"/>
        <w:rPr>
          <w:lang w:val="nl-NL"/>
        </w:rPr>
      </w:pPr>
      <w:r w:rsidRPr="00F95F1D">
        <w:rPr>
          <w:lang w:val="nl-NL"/>
        </w:rPr>
        <w:t>(</w:t>
      </w:r>
      <w:r w:rsidR="0059395F" w:rsidRPr="00F95F1D">
        <w:rPr>
          <w:lang w:val="nl-NL"/>
        </w:rPr>
        <w:t>h</w:t>
      </w:r>
      <w:r w:rsidRPr="00F95F1D">
        <w:rPr>
          <w:lang w:val="nl-NL"/>
        </w:rPr>
        <w:t>)</w:t>
      </w:r>
      <w:r w:rsidRPr="00F95F1D">
        <w:rPr>
          <w:lang w:val="nl-NL"/>
        </w:rPr>
        <w:tab/>
      </w:r>
      <w:r w:rsidR="0074687F" w:rsidRPr="00F95F1D">
        <w:rPr>
          <w:lang w:val="nl-NL"/>
        </w:rPr>
        <w:t xml:space="preserve">maatregelen </w:t>
      </w:r>
      <w:r w:rsidR="000228BC" w:rsidRPr="00F95F1D">
        <w:rPr>
          <w:lang w:val="nl-NL"/>
        </w:rPr>
        <w:t>nemen om</w:t>
      </w:r>
      <w:r w:rsidRPr="00F95F1D">
        <w:rPr>
          <w:lang w:val="nl-NL"/>
        </w:rPr>
        <w:t xml:space="preserve"> </w:t>
      </w:r>
      <w:r w:rsidR="0074687F" w:rsidRPr="00F95F1D">
        <w:rPr>
          <w:lang w:val="nl-NL"/>
        </w:rPr>
        <w:t xml:space="preserve">de </w:t>
      </w:r>
      <w:r w:rsidRPr="00F95F1D">
        <w:rPr>
          <w:lang w:val="nl-NL"/>
        </w:rPr>
        <w:t>uitbuiting van vrouwen</w:t>
      </w:r>
      <w:r w:rsidR="009C1FD9" w:rsidRPr="00F95F1D">
        <w:rPr>
          <w:lang w:val="nl-NL"/>
        </w:rPr>
        <w:t xml:space="preserve">, kinderen </w:t>
      </w:r>
      <w:r w:rsidRPr="00F95F1D">
        <w:rPr>
          <w:lang w:val="nl-NL"/>
        </w:rPr>
        <w:t xml:space="preserve">en </w:t>
      </w:r>
      <w:r w:rsidR="000228BC" w:rsidRPr="00F95F1D">
        <w:rPr>
          <w:lang w:val="nl-NL"/>
        </w:rPr>
        <w:t>niet-gender-conforme personen met een handicap in</w:t>
      </w:r>
      <w:r w:rsidRPr="00F95F1D">
        <w:rPr>
          <w:lang w:val="nl-NL"/>
        </w:rPr>
        <w:t xml:space="preserve"> de </w:t>
      </w:r>
      <w:r w:rsidR="0074687F" w:rsidRPr="00F95F1D">
        <w:rPr>
          <w:lang w:val="nl-NL"/>
        </w:rPr>
        <w:t xml:space="preserve">formele en </w:t>
      </w:r>
      <w:r w:rsidRPr="00F95F1D">
        <w:rPr>
          <w:lang w:val="nl-NL"/>
        </w:rPr>
        <w:t xml:space="preserve">informele economie en </w:t>
      </w:r>
      <w:r w:rsidR="0074687F" w:rsidRPr="00F95F1D">
        <w:rPr>
          <w:lang w:val="nl-NL"/>
        </w:rPr>
        <w:t xml:space="preserve">bij </w:t>
      </w:r>
      <w:r w:rsidRPr="00F95F1D">
        <w:rPr>
          <w:lang w:val="nl-NL"/>
        </w:rPr>
        <w:t>onbetaald werk uit te bannen</w:t>
      </w:r>
      <w:r w:rsidR="0074687F" w:rsidRPr="00F95F1D">
        <w:rPr>
          <w:lang w:val="nl-NL"/>
        </w:rPr>
        <w:t xml:space="preserve">, onder meer door het </w:t>
      </w:r>
      <w:r w:rsidRPr="00F95F1D">
        <w:rPr>
          <w:lang w:val="nl-NL"/>
        </w:rPr>
        <w:t xml:space="preserve">recht op ouderschapsverlof voor iedereen te waarborgen; positieve acties aannemen </w:t>
      </w:r>
      <w:r w:rsidR="000E412C" w:rsidRPr="00F95F1D">
        <w:rPr>
          <w:lang w:val="nl-NL"/>
        </w:rPr>
        <w:t>om meer</w:t>
      </w:r>
      <w:r w:rsidRPr="00F95F1D">
        <w:rPr>
          <w:lang w:val="nl-NL"/>
        </w:rPr>
        <w:t xml:space="preserve"> vrouwen met een handicap </w:t>
      </w:r>
      <w:r w:rsidR="000E412C" w:rsidRPr="00F95F1D">
        <w:rPr>
          <w:lang w:val="nl-NL"/>
        </w:rPr>
        <w:t xml:space="preserve">werkzaam te maken </w:t>
      </w:r>
      <w:r w:rsidRPr="00F95F1D">
        <w:rPr>
          <w:lang w:val="nl-NL"/>
        </w:rPr>
        <w:t xml:space="preserve">in de formele arbeidssector; aannemen van wetten en beleid om voldoende betaald ouderschapsverlof mogelijk te maken, </w:t>
      </w:r>
      <w:r w:rsidR="00615E43" w:rsidRPr="00F95F1D">
        <w:rPr>
          <w:lang w:val="nl-NL"/>
        </w:rPr>
        <w:t xml:space="preserve">alsmede </w:t>
      </w:r>
      <w:r w:rsidRPr="00F95F1D">
        <w:rPr>
          <w:lang w:val="nl-NL"/>
        </w:rPr>
        <w:t>betaalbare, toegankelijke</w:t>
      </w:r>
      <w:r w:rsidR="00F61C91" w:rsidRPr="00F95F1D">
        <w:rPr>
          <w:lang w:val="nl-NL"/>
        </w:rPr>
        <w:t xml:space="preserve"> en adequate </w:t>
      </w:r>
      <w:r w:rsidRPr="00F95F1D">
        <w:rPr>
          <w:lang w:val="nl-NL"/>
        </w:rPr>
        <w:t xml:space="preserve">kinderopvang </w:t>
      </w:r>
      <w:r w:rsidR="00615E43" w:rsidRPr="00F95F1D">
        <w:rPr>
          <w:lang w:val="nl-NL"/>
        </w:rPr>
        <w:t>van goede kwaliteit</w:t>
      </w:r>
      <w:r w:rsidRPr="00F95F1D">
        <w:rPr>
          <w:lang w:val="nl-NL"/>
        </w:rPr>
        <w:t>, en sociale bescherming</w:t>
      </w:r>
      <w:r w:rsidR="00F61C91" w:rsidRPr="00F95F1D">
        <w:rPr>
          <w:lang w:val="nl-NL"/>
        </w:rPr>
        <w:t>smaatregelen</w:t>
      </w:r>
      <w:r w:rsidRPr="00F95F1D">
        <w:rPr>
          <w:lang w:val="nl-NL"/>
        </w:rPr>
        <w:t xml:space="preserve"> die geen negatieve gevolgen </w:t>
      </w:r>
      <w:r w:rsidR="00F61C91" w:rsidRPr="00F95F1D">
        <w:rPr>
          <w:lang w:val="nl-NL"/>
        </w:rPr>
        <w:t>hebben</w:t>
      </w:r>
      <w:r w:rsidRPr="00F95F1D">
        <w:rPr>
          <w:lang w:val="nl-NL"/>
        </w:rPr>
        <w:t xml:space="preserve"> voor </w:t>
      </w:r>
      <w:r w:rsidR="00615E43" w:rsidRPr="00F95F1D">
        <w:rPr>
          <w:lang w:val="nl-NL"/>
        </w:rPr>
        <w:t xml:space="preserve">personen met een handicap die </w:t>
      </w:r>
      <w:r w:rsidRPr="00F95F1D">
        <w:rPr>
          <w:lang w:val="nl-NL"/>
        </w:rPr>
        <w:t xml:space="preserve">zwanger </w:t>
      </w:r>
      <w:r w:rsidR="00615E43" w:rsidRPr="00F95F1D">
        <w:rPr>
          <w:lang w:val="nl-NL"/>
        </w:rPr>
        <w:t xml:space="preserve">zijn </w:t>
      </w:r>
      <w:r w:rsidRPr="00F95F1D">
        <w:rPr>
          <w:lang w:val="nl-NL"/>
        </w:rPr>
        <w:t>of die verlof moeten opnemen om zorgverplichtingen na te komen</w:t>
      </w:r>
      <w:r w:rsidR="009C1FD9" w:rsidRPr="00F95F1D">
        <w:rPr>
          <w:lang w:val="nl-NL"/>
        </w:rPr>
        <w:t xml:space="preserve">, aannemen van wetten en beleid om alle </w:t>
      </w:r>
      <w:r w:rsidR="00F61C91" w:rsidRPr="00F95F1D">
        <w:rPr>
          <w:lang w:val="nl-NL"/>
        </w:rPr>
        <w:t>werkende kinderen</w:t>
      </w:r>
      <w:r w:rsidR="009C1FD9" w:rsidRPr="00F95F1D">
        <w:rPr>
          <w:lang w:val="nl-NL"/>
        </w:rPr>
        <w:t xml:space="preserve"> te beschermen tegen omstandigheden die hun rechten schenden</w:t>
      </w:r>
      <w:r w:rsidRPr="00F95F1D">
        <w:rPr>
          <w:lang w:val="nl-NL"/>
        </w:rPr>
        <w:t xml:space="preserve">. </w:t>
      </w:r>
      <w:r w:rsidR="00615E43" w:rsidRPr="00F95F1D">
        <w:rPr>
          <w:lang w:val="nl-NL"/>
        </w:rPr>
        <w:t xml:space="preserve">De maatregelen moeten ook </w:t>
      </w:r>
      <w:r w:rsidRPr="00F95F1D">
        <w:rPr>
          <w:lang w:val="nl-NL"/>
        </w:rPr>
        <w:t>wetten en beleid omvatten om ervoor te zorgen dat werkgevers genderge</w:t>
      </w:r>
      <w:r w:rsidR="00F61C91" w:rsidRPr="00F95F1D">
        <w:rPr>
          <w:lang w:val="nl-NL"/>
        </w:rPr>
        <w:t>relateerd</w:t>
      </w:r>
      <w:r w:rsidRPr="00F95F1D">
        <w:rPr>
          <w:lang w:val="nl-NL"/>
        </w:rPr>
        <w:t xml:space="preserve"> geweld </w:t>
      </w:r>
      <w:r w:rsidR="00F61C91" w:rsidRPr="00F95F1D">
        <w:rPr>
          <w:lang w:val="nl-NL"/>
        </w:rPr>
        <w:t>doeltreffend voorkomen</w:t>
      </w:r>
      <w:r w:rsidRPr="00F95F1D">
        <w:rPr>
          <w:lang w:val="nl-NL"/>
        </w:rPr>
        <w:t xml:space="preserve"> en aanpakken, en </w:t>
      </w:r>
      <w:r w:rsidR="00F61C91" w:rsidRPr="00F95F1D">
        <w:rPr>
          <w:lang w:val="nl-NL"/>
        </w:rPr>
        <w:t>om</w:t>
      </w:r>
      <w:r w:rsidRPr="00F95F1D">
        <w:rPr>
          <w:lang w:val="nl-NL"/>
        </w:rPr>
        <w:t xml:space="preserve"> culturele en maatschappelijke normen </w:t>
      </w:r>
      <w:r w:rsidR="00F61C91" w:rsidRPr="00F95F1D">
        <w:rPr>
          <w:lang w:val="nl-NL"/>
        </w:rPr>
        <w:t xml:space="preserve">te veranderen </w:t>
      </w:r>
      <w:r w:rsidRPr="00F95F1D">
        <w:rPr>
          <w:lang w:val="nl-NL"/>
        </w:rPr>
        <w:t>die gendergerelateerd geweld in de hand werken.</w:t>
      </w:r>
    </w:p>
    <w:p w14:paraId="2AEB6803" w14:textId="41CA5A15" w:rsidR="00F6202B" w:rsidRPr="00BC74EF" w:rsidRDefault="0059395F">
      <w:pPr>
        <w:pStyle w:val="SingleTxtG"/>
        <w:ind w:firstLine="709"/>
        <w:rPr>
          <w:lang w:val="nl-NL"/>
        </w:rPr>
      </w:pPr>
      <w:r w:rsidRPr="00F95F1D">
        <w:rPr>
          <w:lang w:val="nl-NL"/>
        </w:rPr>
        <w:t>(i)</w:t>
      </w:r>
      <w:r w:rsidRPr="00F95F1D">
        <w:rPr>
          <w:lang w:val="nl-NL"/>
        </w:rPr>
        <w:tab/>
      </w:r>
      <w:r w:rsidR="00F61C91" w:rsidRPr="00F95F1D">
        <w:rPr>
          <w:lang w:val="nl-NL"/>
        </w:rPr>
        <w:t>Geleidelijke afschaffing van gesegregeerde</w:t>
      </w:r>
      <w:r w:rsidR="001E4215" w:rsidRPr="00BC74EF">
        <w:rPr>
          <w:lang w:val="nl-NL"/>
        </w:rPr>
        <w:t xml:space="preserve"> </w:t>
      </w:r>
      <w:r w:rsidR="00F61C91">
        <w:rPr>
          <w:lang w:val="nl-NL"/>
        </w:rPr>
        <w:t>tewerkstelling</w:t>
      </w:r>
      <w:r w:rsidR="001E4215" w:rsidRPr="00BC74EF">
        <w:rPr>
          <w:lang w:val="nl-NL"/>
        </w:rPr>
        <w:t xml:space="preserve">, met inbegrip van </w:t>
      </w:r>
      <w:r w:rsidR="004B6F1F" w:rsidRPr="00BC74EF">
        <w:rPr>
          <w:lang w:val="nl-NL"/>
        </w:rPr>
        <w:t xml:space="preserve">sociale werkplaatsen, </w:t>
      </w:r>
      <w:r w:rsidR="0079019F">
        <w:rPr>
          <w:lang w:val="nl-NL"/>
        </w:rPr>
        <w:t xml:space="preserve">en gemakkelijker maken van de overgang naar de reguliere arbeidsmarkt </w:t>
      </w:r>
      <w:r w:rsidR="004B6F1F" w:rsidRPr="00BC74EF">
        <w:rPr>
          <w:lang w:val="nl-NL"/>
        </w:rPr>
        <w:t xml:space="preserve">door concrete actieplannen aan te nemen, met middelen, tijdschema's en controlemechanismen. </w:t>
      </w:r>
      <w:r w:rsidR="00152963" w:rsidRPr="00BC74EF">
        <w:rPr>
          <w:lang w:val="nl-NL"/>
        </w:rPr>
        <w:t xml:space="preserve">Deze </w:t>
      </w:r>
      <w:r w:rsidR="004318ED" w:rsidRPr="00BC74EF">
        <w:rPr>
          <w:lang w:val="nl-NL"/>
        </w:rPr>
        <w:t xml:space="preserve">actieplannen </w:t>
      </w:r>
      <w:r w:rsidR="00BD0792">
        <w:rPr>
          <w:lang w:val="nl-NL"/>
        </w:rPr>
        <w:t>omvatten volgende verplichtingen:</w:t>
      </w:r>
    </w:p>
    <w:p w14:paraId="2401FC5B" w14:textId="16B9CF37" w:rsidR="00F6202B" w:rsidRPr="00BC74EF" w:rsidRDefault="00BD0792" w:rsidP="00BD0792">
      <w:pPr>
        <w:pStyle w:val="SingleTxtG"/>
        <w:tabs>
          <w:tab w:val="clear" w:pos="2268"/>
        </w:tabs>
        <w:ind w:left="1800"/>
        <w:rPr>
          <w:lang w:val="nl-NL"/>
        </w:rPr>
      </w:pPr>
      <w:r>
        <w:rPr>
          <w:lang w:val="nl-NL"/>
        </w:rPr>
        <w:t>i)</w:t>
      </w:r>
      <w:r w:rsidRPr="00BC74EF">
        <w:rPr>
          <w:lang w:val="nl-NL"/>
        </w:rPr>
        <w:tab/>
      </w:r>
      <w:r>
        <w:rPr>
          <w:lang w:val="nl-NL"/>
        </w:rPr>
        <w:t>Opnieuw bekijken van d</w:t>
      </w:r>
      <w:r w:rsidR="004B6F1F" w:rsidRPr="00BC74EF">
        <w:rPr>
          <w:lang w:val="nl-NL"/>
        </w:rPr>
        <w:t>e wet</w:t>
      </w:r>
      <w:r>
        <w:rPr>
          <w:lang w:val="nl-NL"/>
        </w:rPr>
        <w:t>geving</w:t>
      </w:r>
      <w:r w:rsidR="004B6F1F" w:rsidRPr="00BC74EF">
        <w:rPr>
          <w:lang w:val="nl-NL"/>
        </w:rPr>
        <w:t xml:space="preserve">, het beleid, de aanpak en de veronderstellingen waarop de bevordering </w:t>
      </w:r>
      <w:r w:rsidR="004B6F1F" w:rsidRPr="00F95F1D">
        <w:rPr>
          <w:lang w:val="nl-NL"/>
        </w:rPr>
        <w:t>van beschutte arbeid</w:t>
      </w:r>
      <w:r w:rsidR="004B6F1F" w:rsidRPr="00BC74EF">
        <w:rPr>
          <w:lang w:val="nl-NL"/>
        </w:rPr>
        <w:t xml:space="preserve"> </w:t>
      </w:r>
      <w:r w:rsidR="00FE5EA5" w:rsidRPr="00BC74EF">
        <w:rPr>
          <w:lang w:val="nl-NL"/>
        </w:rPr>
        <w:t>is</w:t>
      </w:r>
      <w:r w:rsidR="004B6F1F" w:rsidRPr="00BC74EF">
        <w:rPr>
          <w:lang w:val="nl-NL"/>
        </w:rPr>
        <w:t xml:space="preserve"> gebaseerd; </w:t>
      </w:r>
    </w:p>
    <w:p w14:paraId="7B3AEA8C" w14:textId="1B128D1B" w:rsidR="00F6202B" w:rsidRPr="00BC74EF" w:rsidRDefault="00BD0792" w:rsidP="00BD0792">
      <w:pPr>
        <w:pStyle w:val="SingleTxtG"/>
        <w:tabs>
          <w:tab w:val="clear" w:pos="2268"/>
        </w:tabs>
        <w:ind w:left="1800"/>
        <w:rPr>
          <w:lang w:val="nl-NL"/>
        </w:rPr>
      </w:pPr>
      <w:r>
        <w:rPr>
          <w:lang w:val="nl-NL"/>
        </w:rPr>
        <w:t>ii)</w:t>
      </w:r>
      <w:r w:rsidRPr="00BC74EF">
        <w:rPr>
          <w:lang w:val="nl-NL"/>
        </w:rPr>
        <w:tab/>
      </w:r>
      <w:r w:rsidR="004B6F1F" w:rsidRPr="00BC74EF">
        <w:rPr>
          <w:lang w:val="nl-NL"/>
        </w:rPr>
        <w:t xml:space="preserve">nauw overleg met en actieve betrokkenheid van personen met een handicap en </w:t>
      </w:r>
      <w:r>
        <w:rPr>
          <w:lang w:val="nl-NL"/>
        </w:rPr>
        <w:t xml:space="preserve">ervoor zorgen dat zij via hun representatieve </w:t>
      </w:r>
      <w:r w:rsidR="004B6F1F" w:rsidRPr="00BC74EF">
        <w:rPr>
          <w:lang w:val="nl-NL"/>
        </w:rPr>
        <w:t xml:space="preserve">organisaties </w:t>
      </w:r>
      <w:r>
        <w:rPr>
          <w:lang w:val="nl-NL"/>
        </w:rPr>
        <w:t>en prioritair actief bijdragen aan het</w:t>
      </w:r>
      <w:r w:rsidR="004B6F1F" w:rsidRPr="00BC74EF">
        <w:rPr>
          <w:lang w:val="nl-NL"/>
        </w:rPr>
        <w:t xml:space="preserve"> opzet</w:t>
      </w:r>
      <w:r>
        <w:rPr>
          <w:lang w:val="nl-NL"/>
        </w:rPr>
        <w:t>ten</w:t>
      </w:r>
      <w:r w:rsidR="004B6F1F" w:rsidRPr="00BC74EF">
        <w:rPr>
          <w:lang w:val="nl-NL"/>
        </w:rPr>
        <w:t>, uitvoer</w:t>
      </w:r>
      <w:r>
        <w:rPr>
          <w:lang w:val="nl-NL"/>
        </w:rPr>
        <w:t>en</w:t>
      </w:r>
      <w:r w:rsidR="004B6F1F" w:rsidRPr="00BC74EF">
        <w:rPr>
          <w:lang w:val="nl-NL"/>
        </w:rPr>
        <w:t xml:space="preserve"> en </w:t>
      </w:r>
      <w:r>
        <w:rPr>
          <w:lang w:val="nl-NL"/>
        </w:rPr>
        <w:t>opvolgen van</w:t>
      </w:r>
      <w:r w:rsidR="004B6F1F" w:rsidRPr="00BC74EF">
        <w:rPr>
          <w:lang w:val="nl-NL"/>
        </w:rPr>
        <w:t xml:space="preserve"> overgangsprocessen;</w:t>
      </w:r>
    </w:p>
    <w:p w14:paraId="1E45059B" w14:textId="0BC2CF55" w:rsidR="00F6202B" w:rsidRPr="00BC74EF" w:rsidRDefault="0059395F">
      <w:pPr>
        <w:pStyle w:val="SingleTxtG"/>
        <w:ind w:firstLine="709"/>
        <w:rPr>
          <w:lang w:val="nl-NL"/>
        </w:rPr>
      </w:pPr>
      <w:r w:rsidRPr="00BC74EF">
        <w:rPr>
          <w:lang w:val="nl-NL"/>
        </w:rPr>
        <w:t>(j)</w:t>
      </w:r>
      <w:r w:rsidRPr="00BC74EF">
        <w:rPr>
          <w:lang w:val="nl-NL"/>
        </w:rPr>
        <w:tab/>
      </w:r>
      <w:r w:rsidR="004B6F1F" w:rsidRPr="00BC74EF">
        <w:rPr>
          <w:lang w:val="nl-NL"/>
        </w:rPr>
        <w:t>ontwikkelen en uitvoeren</w:t>
      </w:r>
      <w:r w:rsidR="00BD0792">
        <w:rPr>
          <w:lang w:val="nl-NL"/>
        </w:rPr>
        <w:t xml:space="preserve">, met de daadwerkelijke </w:t>
      </w:r>
      <w:r w:rsidR="00AD448F" w:rsidRPr="00F95F1D">
        <w:rPr>
          <w:lang w:val="nl-NL"/>
        </w:rPr>
        <w:t>participatie</w:t>
      </w:r>
      <w:r w:rsidR="00AD448F">
        <w:rPr>
          <w:lang w:val="nl-NL"/>
        </w:rPr>
        <w:t xml:space="preserve"> </w:t>
      </w:r>
      <w:r w:rsidR="00BD0792">
        <w:rPr>
          <w:lang w:val="nl-NL"/>
        </w:rPr>
        <w:t>van personen met een handicap via hun representatieve organisaties,</w:t>
      </w:r>
      <w:r w:rsidR="004B6F1F" w:rsidRPr="00BC74EF">
        <w:rPr>
          <w:lang w:val="nl-NL"/>
        </w:rPr>
        <w:t xml:space="preserve"> van programma's voor </w:t>
      </w:r>
      <w:r w:rsidR="00BD0792">
        <w:rPr>
          <w:lang w:val="nl-NL"/>
        </w:rPr>
        <w:t xml:space="preserve">sensibilisering en </w:t>
      </w:r>
      <w:r w:rsidR="004B6F1F" w:rsidRPr="00BC74EF">
        <w:rPr>
          <w:lang w:val="nl-NL"/>
        </w:rPr>
        <w:t xml:space="preserve">kennis- en capaciteitsopbouw, waaronder opleidingen binnen </w:t>
      </w:r>
      <w:r w:rsidR="00615E43" w:rsidRPr="00BC74EF">
        <w:rPr>
          <w:lang w:val="nl-NL"/>
        </w:rPr>
        <w:t xml:space="preserve">de </w:t>
      </w:r>
      <w:r w:rsidR="004B6F1F" w:rsidRPr="00BC74EF">
        <w:rPr>
          <w:lang w:val="nl-NL"/>
        </w:rPr>
        <w:t xml:space="preserve">openbare </w:t>
      </w:r>
      <w:r w:rsidR="00615E43" w:rsidRPr="00BC74EF">
        <w:rPr>
          <w:lang w:val="nl-NL"/>
        </w:rPr>
        <w:t xml:space="preserve">en de particuliere sector </w:t>
      </w:r>
      <w:r w:rsidR="004B6F1F" w:rsidRPr="00BC74EF">
        <w:rPr>
          <w:lang w:val="nl-NL"/>
        </w:rPr>
        <w:t xml:space="preserve">en de informele economie, om ervoor te zorgen dat het </w:t>
      </w:r>
      <w:r w:rsidR="00BD0792">
        <w:rPr>
          <w:lang w:val="nl-NL"/>
        </w:rPr>
        <w:t>V</w:t>
      </w:r>
      <w:r w:rsidR="004B6F1F" w:rsidRPr="00BC74EF">
        <w:rPr>
          <w:lang w:val="nl-NL"/>
        </w:rPr>
        <w:t>erdrag wordt nageleefd;</w:t>
      </w:r>
    </w:p>
    <w:p w14:paraId="58F4D1D1" w14:textId="6004DDB2" w:rsidR="00F6202B" w:rsidRPr="00BC74EF" w:rsidRDefault="0059395F">
      <w:pPr>
        <w:pStyle w:val="SingleTxtG"/>
        <w:ind w:firstLine="709"/>
        <w:rPr>
          <w:lang w:val="nl-NL"/>
        </w:rPr>
      </w:pPr>
      <w:r w:rsidRPr="00BC74EF">
        <w:rPr>
          <w:lang w:val="nl-NL"/>
        </w:rPr>
        <w:t>(k)</w:t>
      </w:r>
      <w:r w:rsidRPr="00BC74EF">
        <w:rPr>
          <w:lang w:val="nl-NL"/>
        </w:rPr>
        <w:tab/>
      </w:r>
      <w:r w:rsidR="00046594" w:rsidRPr="00BC74EF">
        <w:rPr>
          <w:lang w:val="nl-NL"/>
        </w:rPr>
        <w:t xml:space="preserve"> </w:t>
      </w:r>
      <w:r w:rsidR="00BD0792">
        <w:rPr>
          <w:lang w:val="nl-NL"/>
        </w:rPr>
        <w:t xml:space="preserve">Doeltreffende methoden vaststellen voor het bundelen en uitsplitsen van </w:t>
      </w:r>
      <w:r w:rsidR="00AD448F">
        <w:rPr>
          <w:lang w:val="nl-NL"/>
        </w:rPr>
        <w:t>gegevens</w:t>
      </w:r>
      <w:r w:rsidR="00BD0792">
        <w:rPr>
          <w:lang w:val="nl-NL"/>
        </w:rPr>
        <w:t xml:space="preserve">, </w:t>
      </w:r>
      <w:r w:rsidRPr="00BC74EF">
        <w:rPr>
          <w:lang w:val="nl-NL"/>
        </w:rPr>
        <w:t xml:space="preserve">met een sterk conceptueel en methodologisch kader inzake mensenrechten, zoals uiteengezet in </w:t>
      </w:r>
      <w:r w:rsidR="00AD448F" w:rsidRPr="00AD448F">
        <w:rPr>
          <w:i/>
          <w:lang w:val="nl-NL"/>
        </w:rPr>
        <w:t xml:space="preserve">Human </w:t>
      </w:r>
      <w:proofErr w:type="spellStart"/>
      <w:r w:rsidR="00AD448F" w:rsidRPr="00AD448F">
        <w:rPr>
          <w:i/>
          <w:lang w:val="nl-NL"/>
        </w:rPr>
        <w:t>Rights</w:t>
      </w:r>
      <w:proofErr w:type="spellEnd"/>
      <w:r w:rsidR="00AD448F" w:rsidRPr="00AD448F">
        <w:rPr>
          <w:i/>
          <w:lang w:val="nl-NL"/>
        </w:rPr>
        <w:t xml:space="preserve"> Indicators: A Guide </w:t>
      </w:r>
      <w:proofErr w:type="spellStart"/>
      <w:r w:rsidR="00AD448F" w:rsidRPr="00AD448F">
        <w:rPr>
          <w:i/>
          <w:lang w:val="nl-NL"/>
        </w:rPr>
        <w:t>to</w:t>
      </w:r>
      <w:proofErr w:type="spellEnd"/>
      <w:r w:rsidR="00AD448F" w:rsidRPr="00AD448F">
        <w:rPr>
          <w:i/>
          <w:lang w:val="nl-NL"/>
        </w:rPr>
        <w:t xml:space="preserve"> </w:t>
      </w:r>
      <w:proofErr w:type="spellStart"/>
      <w:r w:rsidR="00AD448F" w:rsidRPr="00AD448F">
        <w:rPr>
          <w:i/>
          <w:lang w:val="nl-NL"/>
        </w:rPr>
        <w:t>Measurement</w:t>
      </w:r>
      <w:proofErr w:type="spellEnd"/>
      <w:r w:rsidR="00AD448F" w:rsidRPr="00AD448F">
        <w:rPr>
          <w:i/>
          <w:lang w:val="nl-NL"/>
        </w:rPr>
        <w:t xml:space="preserve"> and </w:t>
      </w:r>
      <w:proofErr w:type="spellStart"/>
      <w:r w:rsidR="00AD448F" w:rsidRPr="00AD448F">
        <w:rPr>
          <w:i/>
          <w:lang w:val="nl-NL"/>
        </w:rPr>
        <w:t>Implementation</w:t>
      </w:r>
      <w:proofErr w:type="spellEnd"/>
      <w:r w:rsidRPr="00BC74EF">
        <w:rPr>
          <w:lang w:val="nl-NL"/>
        </w:rPr>
        <w:t>.</w:t>
      </w:r>
      <w:r w:rsidRPr="00BC74EF">
        <w:rPr>
          <w:rStyle w:val="Voetnootmarkering"/>
          <w:lang w:val="nl-NL"/>
        </w:rPr>
        <w:footnoteReference w:id="70"/>
      </w:r>
      <w:r w:rsidR="00046594" w:rsidRPr="00BC74EF">
        <w:rPr>
          <w:lang w:val="nl-NL"/>
        </w:rPr>
        <w:t xml:space="preserve"> </w:t>
      </w:r>
      <w:r w:rsidR="00AD448F">
        <w:rPr>
          <w:lang w:val="nl-NL"/>
        </w:rPr>
        <w:t>Zo</w:t>
      </w:r>
      <w:r w:rsidR="00046594" w:rsidRPr="00BC74EF">
        <w:rPr>
          <w:lang w:val="nl-NL"/>
        </w:rPr>
        <w:t xml:space="preserve"> kan </w:t>
      </w:r>
      <w:r w:rsidR="00AD448F">
        <w:rPr>
          <w:lang w:val="nl-NL"/>
        </w:rPr>
        <w:t>men inzicht verwerven</w:t>
      </w:r>
      <w:r w:rsidR="00046594" w:rsidRPr="00BC74EF">
        <w:rPr>
          <w:lang w:val="nl-NL"/>
        </w:rPr>
        <w:t xml:space="preserve"> in de situatie van</w:t>
      </w:r>
      <w:r w:rsidR="00AD448F">
        <w:rPr>
          <w:lang w:val="nl-NL"/>
        </w:rPr>
        <w:t xml:space="preserve"> werkende en werkloze</w:t>
      </w:r>
      <w:r w:rsidR="00046594" w:rsidRPr="00BC74EF">
        <w:rPr>
          <w:lang w:val="nl-NL"/>
        </w:rPr>
        <w:t xml:space="preserve"> personen met een handicap, met bijzondere aandacht voor de relevantie en doeltreffendheid van de </w:t>
      </w:r>
      <w:r w:rsidR="00AD448F">
        <w:rPr>
          <w:lang w:val="nl-NL"/>
        </w:rPr>
        <w:t>overheids</w:t>
      </w:r>
      <w:r w:rsidR="00046594" w:rsidRPr="00BC74EF">
        <w:rPr>
          <w:lang w:val="nl-NL"/>
        </w:rPr>
        <w:t>maatregelen om de werkgelegenheid in de formele economie te bevorderen</w:t>
      </w:r>
      <w:r w:rsidR="00C52B47" w:rsidRPr="00BC74EF">
        <w:rPr>
          <w:lang w:val="nl-NL"/>
        </w:rPr>
        <w:t>.</w:t>
      </w:r>
      <w:r w:rsidR="00AD448F">
        <w:rPr>
          <w:lang w:val="nl-NL"/>
        </w:rPr>
        <w:t xml:space="preserve"> </w:t>
      </w:r>
    </w:p>
    <w:p w14:paraId="432215D8" w14:textId="063834A4" w:rsidR="00F6202B" w:rsidRPr="00BC74EF" w:rsidRDefault="0059395F">
      <w:pPr>
        <w:pStyle w:val="SingleTxtG"/>
        <w:ind w:firstLine="709"/>
        <w:rPr>
          <w:lang w:val="nl-NL"/>
        </w:rPr>
      </w:pPr>
      <w:r w:rsidRPr="00BC74EF">
        <w:rPr>
          <w:lang w:val="nl-NL"/>
        </w:rPr>
        <w:t>(l)</w:t>
      </w:r>
      <w:r w:rsidRPr="00BC74EF">
        <w:rPr>
          <w:lang w:val="nl-NL"/>
        </w:rPr>
        <w:tab/>
      </w:r>
      <w:r w:rsidR="000F79EB">
        <w:rPr>
          <w:lang w:val="nl-NL"/>
        </w:rPr>
        <w:t>Voorzien</w:t>
      </w:r>
      <w:r w:rsidR="004B6F1F" w:rsidRPr="00BC74EF">
        <w:rPr>
          <w:lang w:val="nl-NL"/>
        </w:rPr>
        <w:t xml:space="preserve"> </w:t>
      </w:r>
      <w:r w:rsidR="00E97BC9">
        <w:rPr>
          <w:lang w:val="nl-NL"/>
        </w:rPr>
        <w:t>in</w:t>
      </w:r>
      <w:r w:rsidR="004B6F1F" w:rsidRPr="00BC74EF">
        <w:rPr>
          <w:lang w:val="nl-NL"/>
        </w:rPr>
        <w:t xml:space="preserve"> toegankelijke en doeltreffende verhaalmechanismen en </w:t>
      </w:r>
      <w:r w:rsidR="000F79EB">
        <w:rPr>
          <w:lang w:val="nl-NL"/>
        </w:rPr>
        <w:t xml:space="preserve">waarborgen dat slachtoffers van discriminatie op grond van een handicap op voet van gelijkheid met anderen </w:t>
      </w:r>
      <w:r w:rsidR="004B6F1F" w:rsidRPr="00BC74EF">
        <w:rPr>
          <w:lang w:val="nl-NL"/>
        </w:rPr>
        <w:t xml:space="preserve">toegang </w:t>
      </w:r>
      <w:r w:rsidR="000F79EB">
        <w:rPr>
          <w:lang w:val="nl-NL"/>
        </w:rPr>
        <w:t xml:space="preserve">hebben </w:t>
      </w:r>
      <w:r w:rsidR="004B6F1F" w:rsidRPr="00BC74EF">
        <w:rPr>
          <w:lang w:val="nl-NL"/>
        </w:rPr>
        <w:t xml:space="preserve">tot de rechter. Dit omvat toegang voor alle personen </w:t>
      </w:r>
      <w:r w:rsidR="004B6F1F" w:rsidRPr="00BC74EF">
        <w:rPr>
          <w:lang w:val="nl-NL"/>
        </w:rPr>
        <w:lastRenderedPageBreak/>
        <w:t>met een handicap tot effectieve gerechtelijke en administratieve procedures, waaronder effectieve en toegankelijke klachtenmechanismen, en tot passende</w:t>
      </w:r>
      <w:r w:rsidR="000F79EB">
        <w:rPr>
          <w:lang w:val="nl-NL"/>
        </w:rPr>
        <w:t>,</w:t>
      </w:r>
      <w:r w:rsidR="004B6F1F" w:rsidRPr="00BC74EF">
        <w:rPr>
          <w:lang w:val="nl-NL"/>
        </w:rPr>
        <w:t xml:space="preserve"> betaalbare </w:t>
      </w:r>
      <w:r w:rsidR="000F79EB">
        <w:rPr>
          <w:lang w:val="nl-NL"/>
        </w:rPr>
        <w:t xml:space="preserve">en kwalitatieve </w:t>
      </w:r>
      <w:r w:rsidR="004B6F1F" w:rsidRPr="00BC74EF">
        <w:rPr>
          <w:lang w:val="nl-NL"/>
        </w:rPr>
        <w:t xml:space="preserve">rechtsbijstand; </w:t>
      </w:r>
    </w:p>
    <w:p w14:paraId="0DACCDEC" w14:textId="655BB1DB" w:rsidR="00F6202B" w:rsidRPr="00BC74EF" w:rsidRDefault="002755DB">
      <w:pPr>
        <w:pStyle w:val="SingleTxtG"/>
        <w:ind w:firstLine="709"/>
        <w:rPr>
          <w:lang w:val="nl-NL"/>
        </w:rPr>
      </w:pPr>
      <w:r w:rsidRPr="00BC74EF">
        <w:rPr>
          <w:lang w:val="nl-NL"/>
        </w:rPr>
        <w:t>(</w:t>
      </w:r>
      <w:r w:rsidR="0059395F" w:rsidRPr="00BC74EF">
        <w:rPr>
          <w:lang w:val="nl-NL"/>
        </w:rPr>
        <w:t>m</w:t>
      </w:r>
      <w:r w:rsidRPr="00BC74EF">
        <w:rPr>
          <w:lang w:val="nl-NL"/>
        </w:rPr>
        <w:t>)</w:t>
      </w:r>
      <w:r w:rsidRPr="00BC74EF">
        <w:rPr>
          <w:lang w:val="nl-NL"/>
        </w:rPr>
        <w:tab/>
      </w:r>
      <w:r w:rsidR="00E97BC9">
        <w:rPr>
          <w:lang w:val="nl-NL"/>
        </w:rPr>
        <w:t>De mogelijkheden op vlak van toegang</w:t>
      </w:r>
      <w:r w:rsidR="004B6F1F" w:rsidRPr="00BC74EF">
        <w:rPr>
          <w:lang w:val="nl-NL"/>
        </w:rPr>
        <w:t xml:space="preserve"> </w:t>
      </w:r>
      <w:r w:rsidR="00E97BC9">
        <w:rPr>
          <w:lang w:val="nl-NL"/>
        </w:rPr>
        <w:t>tot</w:t>
      </w:r>
      <w:r w:rsidR="004B6F1F" w:rsidRPr="00BC74EF">
        <w:rPr>
          <w:lang w:val="nl-NL"/>
        </w:rPr>
        <w:t xml:space="preserve"> werk voor personen met een handicap in kaart brengen en </w:t>
      </w:r>
      <w:r w:rsidR="00E97BC9">
        <w:rPr>
          <w:lang w:val="nl-NL"/>
        </w:rPr>
        <w:t xml:space="preserve">deze </w:t>
      </w:r>
      <w:r w:rsidR="004B6F1F" w:rsidRPr="00BC74EF">
        <w:rPr>
          <w:lang w:val="nl-NL"/>
        </w:rPr>
        <w:t>versterken, onder meer door mechanismen voor het op elkaar afstemmen</w:t>
      </w:r>
      <w:r w:rsidR="004B6F1F" w:rsidRPr="00E62F2F">
        <w:rPr>
          <w:lang w:val="nl-NL"/>
        </w:rPr>
        <w:t xml:space="preserve"> van</w:t>
      </w:r>
      <w:r w:rsidR="00E97BC9" w:rsidRPr="00E62F2F">
        <w:rPr>
          <w:lang w:val="nl-NL"/>
        </w:rPr>
        <w:t xml:space="preserve"> vraag en aanbod van</w:t>
      </w:r>
      <w:r w:rsidR="004B6F1F" w:rsidRPr="00E62F2F">
        <w:rPr>
          <w:lang w:val="nl-NL"/>
        </w:rPr>
        <w:t xml:space="preserve"> </w:t>
      </w:r>
      <w:r w:rsidR="00E97BC9" w:rsidRPr="00E62F2F">
        <w:rPr>
          <w:lang w:val="nl-NL"/>
        </w:rPr>
        <w:t>jobs</w:t>
      </w:r>
      <w:r w:rsidR="004B6F1F" w:rsidRPr="00E62F2F">
        <w:rPr>
          <w:lang w:val="nl-NL"/>
        </w:rPr>
        <w:t xml:space="preserve"> die een brug slaan tussen personen met een handicap en werkgevers, </w:t>
      </w:r>
      <w:r w:rsidR="00E97BC9" w:rsidRPr="00E62F2F">
        <w:rPr>
          <w:lang w:val="nl-NL"/>
        </w:rPr>
        <w:t xml:space="preserve">en mechanismen die specifiek bedoeld zijn om de toegang tot werk in de overheidssector te vergemakkelijken; </w:t>
      </w:r>
    </w:p>
    <w:p w14:paraId="39649108" w14:textId="2F23F912" w:rsidR="00F6202B" w:rsidRPr="00BC74EF" w:rsidRDefault="002755DB">
      <w:pPr>
        <w:pStyle w:val="SingleTxtG"/>
        <w:ind w:firstLine="709"/>
        <w:rPr>
          <w:lang w:val="nl-NL"/>
        </w:rPr>
      </w:pPr>
      <w:r w:rsidRPr="00BC74EF">
        <w:rPr>
          <w:lang w:val="nl-NL"/>
        </w:rPr>
        <w:t>(</w:t>
      </w:r>
      <w:r w:rsidR="0059395F" w:rsidRPr="00BC74EF">
        <w:rPr>
          <w:lang w:val="nl-NL"/>
        </w:rPr>
        <w:t>n</w:t>
      </w:r>
      <w:r w:rsidRPr="00BC74EF">
        <w:rPr>
          <w:lang w:val="nl-NL"/>
        </w:rPr>
        <w:t>)</w:t>
      </w:r>
      <w:r w:rsidRPr="00BC74EF">
        <w:rPr>
          <w:lang w:val="nl-NL"/>
        </w:rPr>
        <w:tab/>
      </w:r>
      <w:r w:rsidR="004B6F1F" w:rsidRPr="00BC74EF">
        <w:rPr>
          <w:lang w:val="nl-NL"/>
        </w:rPr>
        <w:t>multistakeholderpartnerschappen en -netwerken stimuleren en versterken om de werkgelegenheid voor personen met een handicap te bevorderen</w:t>
      </w:r>
      <w:r w:rsidR="00E62F2F">
        <w:rPr>
          <w:lang w:val="nl-NL"/>
        </w:rPr>
        <w:t>, onder meer door ge</w:t>
      </w:r>
      <w:r w:rsidR="004B6F1F" w:rsidRPr="00BC74EF">
        <w:rPr>
          <w:lang w:val="nl-NL"/>
        </w:rPr>
        <w:t xml:space="preserve">bruik </w:t>
      </w:r>
      <w:r w:rsidR="00680461">
        <w:rPr>
          <w:lang w:val="nl-NL"/>
        </w:rPr>
        <w:t xml:space="preserve">te maken </w:t>
      </w:r>
      <w:r w:rsidR="004B6F1F" w:rsidRPr="00BC74EF">
        <w:rPr>
          <w:lang w:val="nl-NL"/>
        </w:rPr>
        <w:t>van netwerken om werkgevers bijeen te brengen voor de bevordering van werk voor</w:t>
      </w:r>
      <w:r w:rsidR="00FF34DA">
        <w:rPr>
          <w:lang w:val="nl-NL"/>
        </w:rPr>
        <w:t xml:space="preserve"> personen met een handicap </w:t>
      </w:r>
      <w:r w:rsidR="00F07F57" w:rsidRPr="00BC74EF">
        <w:rPr>
          <w:lang w:val="nl-NL"/>
        </w:rPr>
        <w:t xml:space="preserve">en samenwerking met representatieve organisaties van </w:t>
      </w:r>
      <w:r w:rsidR="00E97BC9">
        <w:rPr>
          <w:lang w:val="nl-NL"/>
        </w:rPr>
        <w:t>personen met een handicap</w:t>
      </w:r>
      <w:r w:rsidR="00F07F57" w:rsidRPr="00BC74EF">
        <w:rPr>
          <w:lang w:val="nl-NL"/>
        </w:rPr>
        <w:t>, onder meer door</w:t>
      </w:r>
      <w:r w:rsidR="00680461">
        <w:rPr>
          <w:lang w:val="nl-NL"/>
        </w:rPr>
        <w:t xml:space="preserve"> hen</w:t>
      </w:r>
      <w:r w:rsidR="00F07F57" w:rsidRPr="00BC74EF">
        <w:rPr>
          <w:lang w:val="nl-NL"/>
        </w:rPr>
        <w:t xml:space="preserve"> vacatures in de openbare en particuliere sector systematisch </w:t>
      </w:r>
      <w:r w:rsidR="00680461">
        <w:rPr>
          <w:lang w:val="nl-NL"/>
        </w:rPr>
        <w:t>toe te sturen, en door de reguliere arbeidsbemiddelingsinstanties ertoe te brengen hun vermogen om</w:t>
      </w:r>
      <w:r w:rsidR="00FF34DA">
        <w:rPr>
          <w:lang w:val="nl-NL"/>
        </w:rPr>
        <w:t xml:space="preserve"> personen met een handicap </w:t>
      </w:r>
      <w:r w:rsidR="004B6F1F" w:rsidRPr="00BC74EF">
        <w:rPr>
          <w:lang w:val="nl-NL"/>
        </w:rPr>
        <w:t>te ondersteunen</w:t>
      </w:r>
      <w:r w:rsidR="00680461">
        <w:rPr>
          <w:lang w:val="nl-NL"/>
        </w:rPr>
        <w:t xml:space="preserve">, te </w:t>
      </w:r>
      <w:r w:rsidR="004B6F1F" w:rsidRPr="00BC74EF">
        <w:rPr>
          <w:lang w:val="nl-NL"/>
        </w:rPr>
        <w:t xml:space="preserve">versterken </w:t>
      </w:r>
      <w:r w:rsidR="00680461">
        <w:rPr>
          <w:lang w:val="nl-NL"/>
        </w:rPr>
        <w:t>via</w:t>
      </w:r>
      <w:r w:rsidR="004B6F1F" w:rsidRPr="00BC74EF">
        <w:rPr>
          <w:lang w:val="nl-NL"/>
        </w:rPr>
        <w:t xml:space="preserve"> partnerschappen met organisaties die zich bezighouden met de rechten van </w:t>
      </w:r>
      <w:r w:rsidR="00680461">
        <w:rPr>
          <w:lang w:val="nl-NL"/>
        </w:rPr>
        <w:t>personen met een handicap.</w:t>
      </w:r>
      <w:r w:rsidR="004B6F1F" w:rsidRPr="00BC74EF">
        <w:rPr>
          <w:lang w:val="nl-NL"/>
        </w:rPr>
        <w:t xml:space="preserve"> </w:t>
      </w:r>
    </w:p>
    <w:p w14:paraId="621C9F85" w14:textId="4F701C8C" w:rsidR="00F6202B" w:rsidRPr="00BC74EF" w:rsidRDefault="002755DB">
      <w:pPr>
        <w:pStyle w:val="SingleTxtG"/>
        <w:ind w:firstLine="709"/>
        <w:rPr>
          <w:lang w:val="nl-NL"/>
        </w:rPr>
      </w:pPr>
      <w:r w:rsidRPr="00BC74EF">
        <w:rPr>
          <w:lang w:val="nl-NL"/>
        </w:rPr>
        <w:t>(</w:t>
      </w:r>
      <w:r w:rsidR="0059395F" w:rsidRPr="00BC74EF">
        <w:rPr>
          <w:lang w:val="nl-NL"/>
        </w:rPr>
        <w:t>o</w:t>
      </w:r>
      <w:r w:rsidRPr="00BC74EF">
        <w:rPr>
          <w:lang w:val="nl-NL"/>
        </w:rPr>
        <w:t>)</w:t>
      </w:r>
      <w:r w:rsidRPr="00BC74EF">
        <w:rPr>
          <w:lang w:val="nl-NL"/>
        </w:rPr>
        <w:tab/>
      </w:r>
      <w:r w:rsidR="00680461">
        <w:rPr>
          <w:lang w:val="nl-NL"/>
        </w:rPr>
        <w:t>O</w:t>
      </w:r>
      <w:r w:rsidR="007D3A2C" w:rsidRPr="00BC74EF">
        <w:rPr>
          <w:lang w:val="nl-NL"/>
        </w:rPr>
        <w:t xml:space="preserve">verheids- en </w:t>
      </w:r>
      <w:r w:rsidR="004B6F1F" w:rsidRPr="00BC74EF">
        <w:rPr>
          <w:lang w:val="nl-NL"/>
        </w:rPr>
        <w:t>niet-overheidswerkgevers</w:t>
      </w:r>
      <w:r w:rsidR="00680461">
        <w:rPr>
          <w:lang w:val="nl-NL"/>
        </w:rPr>
        <w:t xml:space="preserve"> aansporen om te rapporteren</w:t>
      </w:r>
      <w:r w:rsidR="004B6F1F" w:rsidRPr="00BC74EF">
        <w:rPr>
          <w:lang w:val="nl-NL"/>
        </w:rPr>
        <w:t xml:space="preserve"> over </w:t>
      </w:r>
      <w:r w:rsidR="00680461">
        <w:rPr>
          <w:lang w:val="nl-NL"/>
        </w:rPr>
        <w:t>de tewerkstellings</w:t>
      </w:r>
      <w:r w:rsidR="004B6F1F" w:rsidRPr="00BC74EF">
        <w:rPr>
          <w:lang w:val="nl-NL"/>
        </w:rPr>
        <w:t>niveau</w:t>
      </w:r>
      <w:r w:rsidR="00680461">
        <w:rPr>
          <w:lang w:val="nl-NL"/>
        </w:rPr>
        <w:t>s</w:t>
      </w:r>
      <w:r w:rsidR="004B6F1F" w:rsidRPr="00BC74EF">
        <w:rPr>
          <w:lang w:val="nl-NL"/>
        </w:rPr>
        <w:t xml:space="preserve"> en </w:t>
      </w:r>
      <w:r w:rsidR="00680461">
        <w:rPr>
          <w:lang w:val="nl-NL"/>
        </w:rPr>
        <w:t>-</w:t>
      </w:r>
      <w:r w:rsidR="004B6F1F" w:rsidRPr="00BC74EF">
        <w:rPr>
          <w:lang w:val="nl-NL"/>
        </w:rPr>
        <w:t>voorwaarden van personen met een handicap</w:t>
      </w:r>
      <w:r w:rsidR="007D3A2C" w:rsidRPr="00BC74EF">
        <w:rPr>
          <w:lang w:val="nl-NL"/>
        </w:rPr>
        <w:t xml:space="preserve">, met inbegrip van informatie over genomen maatregelen en </w:t>
      </w:r>
      <w:r w:rsidR="00680461">
        <w:rPr>
          <w:lang w:val="nl-NL"/>
        </w:rPr>
        <w:t>gehaalde</w:t>
      </w:r>
      <w:r w:rsidR="007D3A2C" w:rsidRPr="00BC74EF">
        <w:rPr>
          <w:lang w:val="nl-NL"/>
        </w:rPr>
        <w:t xml:space="preserve"> resultaten </w:t>
      </w:r>
      <w:r w:rsidR="00680461">
        <w:rPr>
          <w:lang w:val="nl-NL"/>
        </w:rPr>
        <w:t>met betrekking tot</w:t>
      </w:r>
      <w:r w:rsidR="007D3A2C" w:rsidRPr="00BC74EF">
        <w:rPr>
          <w:lang w:val="nl-NL"/>
        </w:rPr>
        <w:t xml:space="preserve"> de loopbaanontwikkeling van werknemers met een handicap.</w:t>
      </w:r>
    </w:p>
    <w:p w14:paraId="7F209352" w14:textId="77B00CDF" w:rsidR="00F6202B" w:rsidRPr="00BC74EF" w:rsidRDefault="002755DB">
      <w:pPr>
        <w:pStyle w:val="SingleTxtG"/>
        <w:ind w:firstLine="709"/>
        <w:rPr>
          <w:lang w:val="nl-NL"/>
        </w:rPr>
      </w:pPr>
      <w:r w:rsidRPr="00BC74EF">
        <w:rPr>
          <w:lang w:val="nl-NL"/>
        </w:rPr>
        <w:t>(</w:t>
      </w:r>
      <w:r w:rsidR="0059395F" w:rsidRPr="00BC74EF">
        <w:rPr>
          <w:lang w:val="nl-NL"/>
        </w:rPr>
        <w:t>p</w:t>
      </w:r>
      <w:r w:rsidRPr="00BC74EF">
        <w:rPr>
          <w:lang w:val="nl-NL"/>
        </w:rPr>
        <w:t>)</w:t>
      </w:r>
      <w:r w:rsidRPr="00BC74EF">
        <w:rPr>
          <w:lang w:val="nl-NL"/>
        </w:rPr>
        <w:tab/>
      </w:r>
      <w:r w:rsidR="004B6F1F" w:rsidRPr="00BC74EF">
        <w:rPr>
          <w:lang w:val="nl-NL"/>
        </w:rPr>
        <w:t xml:space="preserve">de werkgelegenheid voor personen met een handicap, </w:t>
      </w:r>
      <w:r w:rsidR="00D22CFB" w:rsidRPr="00BC74EF">
        <w:rPr>
          <w:lang w:val="nl-NL"/>
        </w:rPr>
        <w:t xml:space="preserve">in het bijzonder vrouwen met een handicap, </w:t>
      </w:r>
      <w:r w:rsidR="004B6F1F" w:rsidRPr="00BC74EF">
        <w:rPr>
          <w:lang w:val="nl-NL"/>
        </w:rPr>
        <w:t>bevorderen</w:t>
      </w:r>
      <w:r w:rsidR="00AE6894" w:rsidRPr="00BC74EF">
        <w:rPr>
          <w:rStyle w:val="Voetnootmarkering"/>
          <w:lang w:val="nl-NL"/>
        </w:rPr>
        <w:footnoteReference w:id="71"/>
      </w:r>
      <w:r w:rsidR="004B6F1F" w:rsidRPr="00BC74EF">
        <w:rPr>
          <w:lang w:val="nl-NL"/>
        </w:rPr>
        <w:t xml:space="preserve"> onder meer door middel van positieve actie zoals </w:t>
      </w:r>
      <w:r w:rsidR="00771E72">
        <w:rPr>
          <w:lang w:val="nl-NL"/>
        </w:rPr>
        <w:t xml:space="preserve">het instellen van </w:t>
      </w:r>
      <w:r w:rsidR="004B6F1F" w:rsidRPr="00BC74EF">
        <w:rPr>
          <w:lang w:val="nl-NL"/>
        </w:rPr>
        <w:t xml:space="preserve">quotamechanismen </w:t>
      </w:r>
      <w:r w:rsidR="00FE5EA5" w:rsidRPr="00BC74EF">
        <w:rPr>
          <w:lang w:val="nl-NL"/>
        </w:rPr>
        <w:t>en streefcijfers</w:t>
      </w:r>
      <w:r w:rsidR="004B6F1F" w:rsidRPr="00BC74EF">
        <w:rPr>
          <w:lang w:val="nl-NL"/>
        </w:rPr>
        <w:t xml:space="preserve">, en maatregelen nemen </w:t>
      </w:r>
      <w:r w:rsidR="00771E72">
        <w:rPr>
          <w:lang w:val="nl-NL"/>
        </w:rPr>
        <w:t>ter beperking van</w:t>
      </w:r>
      <w:r w:rsidR="004B6F1F" w:rsidRPr="00BC74EF">
        <w:rPr>
          <w:lang w:val="nl-NL"/>
        </w:rPr>
        <w:t xml:space="preserve"> de mogelijkheid van onbedoelde negatieve gevolgen, zoals </w:t>
      </w:r>
      <w:r w:rsidR="00771E72">
        <w:rPr>
          <w:lang w:val="nl-NL"/>
        </w:rPr>
        <w:t>de versterking</w:t>
      </w:r>
      <w:r w:rsidR="004B6F1F" w:rsidRPr="00BC74EF">
        <w:rPr>
          <w:lang w:val="nl-NL"/>
        </w:rPr>
        <w:t xml:space="preserve"> van stereotypen, </w:t>
      </w:r>
      <w:r w:rsidR="00771E72">
        <w:rPr>
          <w:lang w:val="nl-NL"/>
        </w:rPr>
        <w:t>niet-</w:t>
      </w:r>
      <w:r w:rsidR="004B6F1F" w:rsidRPr="00BC74EF">
        <w:rPr>
          <w:lang w:val="nl-NL"/>
        </w:rPr>
        <w:t xml:space="preserve">naleving en het creëren van werkgelegenheidskansen voor beperkte groepen personen met een handicap: </w:t>
      </w:r>
    </w:p>
    <w:p w14:paraId="1FC0A11C" w14:textId="3FD61AC0" w:rsidR="00F6202B" w:rsidRPr="00BC74EF" w:rsidRDefault="00771E72" w:rsidP="00771E72">
      <w:pPr>
        <w:pStyle w:val="SingleTxtG"/>
        <w:numPr>
          <w:ilvl w:val="0"/>
          <w:numId w:val="25"/>
        </w:numPr>
        <w:tabs>
          <w:tab w:val="clear" w:pos="1701"/>
          <w:tab w:val="clear" w:pos="2268"/>
        </w:tabs>
        <w:ind w:left="1701" w:firstLine="567"/>
        <w:rPr>
          <w:lang w:val="nl-NL"/>
        </w:rPr>
      </w:pPr>
      <w:r>
        <w:rPr>
          <w:lang w:val="nl-NL"/>
        </w:rPr>
        <w:t xml:space="preserve"> </w:t>
      </w:r>
      <w:r>
        <w:rPr>
          <w:lang w:val="nl-NL"/>
        </w:rPr>
        <w:tab/>
      </w:r>
      <w:r w:rsidR="004B6F1F" w:rsidRPr="00BC74EF">
        <w:rPr>
          <w:lang w:val="nl-NL"/>
        </w:rPr>
        <w:t>Zorgen voor duidelijk</w:t>
      </w:r>
      <w:r>
        <w:rPr>
          <w:lang w:val="nl-NL"/>
        </w:rPr>
        <w:t>e</w:t>
      </w:r>
      <w:r w:rsidR="004B6F1F" w:rsidRPr="00BC74EF">
        <w:rPr>
          <w:lang w:val="nl-NL"/>
        </w:rPr>
        <w:t xml:space="preserve"> </w:t>
      </w:r>
      <w:r>
        <w:rPr>
          <w:lang w:val="nl-NL"/>
        </w:rPr>
        <w:t>toezichtprocedures</w:t>
      </w:r>
      <w:r w:rsidR="004B6F1F" w:rsidRPr="00BC74EF">
        <w:rPr>
          <w:lang w:val="nl-NL"/>
        </w:rPr>
        <w:t xml:space="preserve">, transparantie </w:t>
      </w:r>
      <w:r>
        <w:rPr>
          <w:lang w:val="nl-NL"/>
        </w:rPr>
        <w:t xml:space="preserve">van de activiteiten </w:t>
      </w:r>
      <w:r w:rsidR="004B6F1F" w:rsidRPr="00BC74EF">
        <w:rPr>
          <w:lang w:val="nl-NL"/>
        </w:rPr>
        <w:t xml:space="preserve">en rapportage; </w:t>
      </w:r>
    </w:p>
    <w:p w14:paraId="3BF16D70" w14:textId="225D94F4" w:rsidR="00F6202B" w:rsidRPr="00BC74EF" w:rsidRDefault="002755DB">
      <w:pPr>
        <w:pStyle w:val="SingleTxtG"/>
        <w:numPr>
          <w:ilvl w:val="0"/>
          <w:numId w:val="25"/>
        </w:numPr>
        <w:tabs>
          <w:tab w:val="clear" w:pos="1701"/>
          <w:tab w:val="clear" w:pos="2268"/>
        </w:tabs>
        <w:ind w:left="1701" w:firstLine="567"/>
        <w:rPr>
          <w:lang w:val="nl-NL"/>
        </w:rPr>
      </w:pPr>
      <w:r w:rsidRPr="00BC74EF">
        <w:rPr>
          <w:lang w:val="nl-NL"/>
        </w:rPr>
        <w:tab/>
      </w:r>
      <w:r w:rsidR="004B6F1F" w:rsidRPr="00BC74EF">
        <w:rPr>
          <w:lang w:val="nl-NL"/>
        </w:rPr>
        <w:t>Identificeren en voorkomen van werkpraktijken die niet in overeenstemming zijn met het Verdrag</w:t>
      </w:r>
      <w:r w:rsidR="00FE5EA5" w:rsidRPr="00BC74EF">
        <w:rPr>
          <w:lang w:val="nl-NL"/>
        </w:rPr>
        <w:t xml:space="preserve">, waaronder </w:t>
      </w:r>
      <w:r w:rsidR="004B6F1F" w:rsidRPr="00BC74EF">
        <w:rPr>
          <w:lang w:val="nl-NL"/>
        </w:rPr>
        <w:t xml:space="preserve">segregatie, stereotypering </w:t>
      </w:r>
      <w:r w:rsidR="00771E72">
        <w:rPr>
          <w:lang w:val="nl-NL"/>
        </w:rPr>
        <w:t>en</w:t>
      </w:r>
      <w:r w:rsidR="004B6F1F" w:rsidRPr="00BC74EF">
        <w:rPr>
          <w:lang w:val="nl-NL"/>
        </w:rPr>
        <w:t xml:space="preserve"> discriminatie; </w:t>
      </w:r>
    </w:p>
    <w:p w14:paraId="3800395B" w14:textId="591B40FF" w:rsidR="00F6202B" w:rsidRPr="00BC74EF" w:rsidRDefault="002755DB">
      <w:pPr>
        <w:pStyle w:val="SingleTxtG"/>
        <w:numPr>
          <w:ilvl w:val="0"/>
          <w:numId w:val="25"/>
        </w:numPr>
        <w:tabs>
          <w:tab w:val="clear" w:pos="1701"/>
          <w:tab w:val="clear" w:pos="2268"/>
        </w:tabs>
        <w:ind w:left="1701" w:firstLine="567"/>
        <w:rPr>
          <w:lang w:val="nl-NL"/>
        </w:rPr>
      </w:pPr>
      <w:r w:rsidRPr="00BC74EF">
        <w:rPr>
          <w:lang w:val="nl-NL"/>
        </w:rPr>
        <w:tab/>
      </w:r>
      <w:r w:rsidR="00771E72">
        <w:rPr>
          <w:lang w:val="nl-NL"/>
        </w:rPr>
        <w:t xml:space="preserve">Meten van </w:t>
      </w:r>
      <w:r w:rsidR="004B6F1F" w:rsidRPr="00BC74EF">
        <w:rPr>
          <w:lang w:val="nl-NL"/>
        </w:rPr>
        <w:t xml:space="preserve">prestaties en resultaten, waaronder: de kwaliteit van het </w:t>
      </w:r>
      <w:r w:rsidR="00771E72">
        <w:rPr>
          <w:lang w:val="nl-NL"/>
        </w:rPr>
        <w:t>verrichte</w:t>
      </w:r>
      <w:r w:rsidR="004B6F1F" w:rsidRPr="00BC74EF">
        <w:rPr>
          <w:lang w:val="nl-NL"/>
        </w:rPr>
        <w:t xml:space="preserve"> werk, </w:t>
      </w:r>
      <w:r w:rsidR="00771E72">
        <w:rPr>
          <w:lang w:val="nl-NL"/>
        </w:rPr>
        <w:t xml:space="preserve">de vraag </w:t>
      </w:r>
      <w:r w:rsidR="004B6F1F" w:rsidRPr="00BC74EF">
        <w:rPr>
          <w:lang w:val="nl-NL"/>
        </w:rPr>
        <w:t xml:space="preserve">of werknemers met een handicap beperkt worden tot bepaalde </w:t>
      </w:r>
      <w:r w:rsidR="00771E72">
        <w:rPr>
          <w:lang w:val="nl-NL"/>
        </w:rPr>
        <w:t>functies</w:t>
      </w:r>
      <w:r w:rsidR="004B6F1F" w:rsidRPr="00BC74EF">
        <w:rPr>
          <w:lang w:val="nl-NL"/>
        </w:rPr>
        <w:t xml:space="preserve"> of soorten werk, en of alleen bepaalde groepen</w:t>
      </w:r>
      <w:r w:rsidR="00FF34DA">
        <w:rPr>
          <w:lang w:val="nl-NL"/>
        </w:rPr>
        <w:t xml:space="preserve"> personen met een handicap </w:t>
      </w:r>
      <w:r w:rsidR="00771E72">
        <w:rPr>
          <w:lang w:val="nl-NL"/>
        </w:rPr>
        <w:t>worden aangeworven</w:t>
      </w:r>
      <w:r w:rsidR="004B6F1F" w:rsidRPr="00BC74EF">
        <w:rPr>
          <w:lang w:val="nl-NL"/>
        </w:rPr>
        <w:t xml:space="preserve">; </w:t>
      </w:r>
    </w:p>
    <w:p w14:paraId="7BA51F76" w14:textId="77777777" w:rsidR="00F6202B" w:rsidRPr="00BC74EF" w:rsidRDefault="002755DB">
      <w:pPr>
        <w:pStyle w:val="SingleTxtG"/>
        <w:numPr>
          <w:ilvl w:val="0"/>
          <w:numId w:val="25"/>
        </w:numPr>
        <w:tabs>
          <w:tab w:val="clear" w:pos="1701"/>
          <w:tab w:val="clear" w:pos="2268"/>
        </w:tabs>
        <w:ind w:left="1701" w:firstLine="567"/>
        <w:rPr>
          <w:lang w:val="nl-NL"/>
        </w:rPr>
      </w:pPr>
      <w:r w:rsidRPr="00BC74EF">
        <w:rPr>
          <w:lang w:val="nl-NL"/>
        </w:rPr>
        <w:tab/>
      </w:r>
      <w:r w:rsidR="004B6F1F" w:rsidRPr="00BC74EF">
        <w:rPr>
          <w:lang w:val="nl-NL"/>
        </w:rPr>
        <w:t xml:space="preserve">Zorgen voor passende verantwoordings- en handhavingsmechanismen; </w:t>
      </w:r>
    </w:p>
    <w:p w14:paraId="08B4F60B" w14:textId="77777777" w:rsidR="00F6202B" w:rsidRPr="00BC74EF" w:rsidRDefault="002755DB">
      <w:pPr>
        <w:pStyle w:val="SingleTxtG"/>
        <w:numPr>
          <w:ilvl w:val="0"/>
          <w:numId w:val="25"/>
        </w:numPr>
        <w:tabs>
          <w:tab w:val="clear" w:pos="1701"/>
          <w:tab w:val="clear" w:pos="2268"/>
        </w:tabs>
        <w:ind w:left="1701" w:firstLine="567"/>
        <w:rPr>
          <w:lang w:val="nl-NL"/>
        </w:rPr>
      </w:pPr>
      <w:r w:rsidRPr="00BC74EF">
        <w:rPr>
          <w:lang w:val="nl-NL"/>
        </w:rPr>
        <w:tab/>
      </w:r>
      <w:r w:rsidR="004B6F1F" w:rsidRPr="00BC74EF">
        <w:rPr>
          <w:lang w:val="nl-NL"/>
        </w:rPr>
        <w:t xml:space="preserve">Ervoor zorgen dat positieve acties gepaard gaan met maatregelen om werkgevers te ondersteunen bij de uitvoering ervan. </w:t>
      </w:r>
    </w:p>
    <w:p w14:paraId="214FC75C" w14:textId="77777777" w:rsidR="007268F9" w:rsidRPr="00BC74EF" w:rsidRDefault="00826701" w:rsidP="00826701">
      <w:pPr>
        <w:spacing w:before="240"/>
        <w:jc w:val="center"/>
        <w:rPr>
          <w:lang w:val="nl-NL"/>
        </w:rPr>
      </w:pPr>
      <w:r w:rsidRPr="00BC74EF">
        <w:rPr>
          <w:u w:val="single"/>
          <w:lang w:val="nl-NL"/>
        </w:rPr>
        <w:tab/>
      </w:r>
      <w:r w:rsidRPr="00BC74EF">
        <w:rPr>
          <w:u w:val="single"/>
          <w:lang w:val="nl-NL"/>
        </w:rPr>
        <w:tab/>
      </w:r>
      <w:r w:rsidRPr="00BC74EF">
        <w:rPr>
          <w:u w:val="single"/>
          <w:lang w:val="nl-NL"/>
        </w:rPr>
        <w:tab/>
      </w:r>
    </w:p>
    <w:sectPr w:rsidR="007268F9" w:rsidRPr="00BC74EF"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0743B" w14:textId="77777777" w:rsidR="00AC00EB" w:rsidRPr="00317DC1" w:rsidRDefault="00AC00EB" w:rsidP="00317DC1">
      <w:pPr>
        <w:pStyle w:val="Voettekst"/>
      </w:pPr>
    </w:p>
  </w:endnote>
  <w:endnote w:type="continuationSeparator" w:id="0">
    <w:p w14:paraId="0A437EA6" w14:textId="77777777" w:rsidR="00AC00EB" w:rsidRPr="00317DC1" w:rsidRDefault="00AC00EB" w:rsidP="00317DC1">
      <w:pPr>
        <w:pStyle w:val="Voe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CCC3" w14:textId="77777777" w:rsidR="00F6202B" w:rsidRDefault="002755DB">
    <w:pPr>
      <w:pStyle w:val="Voettekst"/>
      <w:tabs>
        <w:tab w:val="left" w:pos="3520"/>
        <w:tab w:val="right" w:pos="9638"/>
      </w:tabs>
    </w:pPr>
    <w:r w:rsidRPr="000D4B29">
      <w:rPr>
        <w:b/>
        <w:bCs/>
        <w:sz w:val="18"/>
      </w:rPr>
      <w:fldChar w:fldCharType="begin"/>
    </w:r>
    <w:r w:rsidRPr="000D4B29">
      <w:rPr>
        <w:b/>
        <w:bCs/>
        <w:sz w:val="18"/>
      </w:rPr>
      <w:instrText xml:space="preserve"> PAGE  \* MERGEFORMAT </w:instrText>
    </w:r>
    <w:r w:rsidRPr="000D4B29">
      <w:rPr>
        <w:b/>
        <w:bCs/>
        <w:sz w:val="18"/>
      </w:rPr>
      <w:fldChar w:fldCharType="separate"/>
    </w:r>
    <w:r w:rsidR="00883B20">
      <w:rPr>
        <w:b/>
        <w:bCs/>
        <w:noProof/>
        <w:sz w:val="18"/>
      </w:rPr>
      <w:t>18</w:t>
    </w:r>
    <w:r w:rsidRPr="000D4B29">
      <w:rPr>
        <w:b/>
        <w:bCs/>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96C36" w14:textId="77777777" w:rsidR="00F6202B" w:rsidRDefault="002755DB">
    <w:pPr>
      <w:pStyle w:val="Voettekst"/>
      <w:tabs>
        <w:tab w:val="right" w:pos="9638"/>
      </w:tabs>
      <w:jc w:val="right"/>
    </w:pPr>
    <w:r w:rsidRPr="000D4B29">
      <w:rPr>
        <w:b/>
        <w:bCs/>
        <w:sz w:val="18"/>
      </w:rPr>
      <w:fldChar w:fldCharType="begin"/>
    </w:r>
    <w:r w:rsidRPr="000D4B29">
      <w:rPr>
        <w:b/>
        <w:bCs/>
        <w:sz w:val="18"/>
      </w:rPr>
      <w:instrText xml:space="preserve"> PAGE  \* MERGEFORMAT </w:instrText>
    </w:r>
    <w:r w:rsidRPr="000D4B29">
      <w:rPr>
        <w:b/>
        <w:bCs/>
        <w:sz w:val="18"/>
      </w:rPr>
      <w:fldChar w:fldCharType="separate"/>
    </w:r>
    <w:r w:rsidR="00883B20">
      <w:rPr>
        <w:b/>
        <w:bCs/>
        <w:noProof/>
        <w:sz w:val="18"/>
      </w:rPr>
      <w:t>19</w:t>
    </w:r>
    <w:r w:rsidRPr="000D4B29">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519E8" w14:textId="77777777" w:rsidR="00F6202B" w:rsidRDefault="002755DB">
    <w:pPr>
      <w:pStyle w:val="Voettekst"/>
    </w:pPr>
    <w:r>
      <w:rPr>
        <w:noProof/>
        <w:lang w:eastAsia="en-GB"/>
      </w:rPr>
      <w:drawing>
        <wp:anchor distT="0" distB="0" distL="114300" distR="114300" simplePos="0" relativeHeight="251659264" behindDoc="1" locked="1" layoutInCell="1" allowOverlap="1" wp14:anchorId="7DDF0759" wp14:editId="7029E9D9">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A3F912E" w14:textId="77777777" w:rsidR="00F6202B" w:rsidRDefault="002755DB">
    <w:pPr>
      <w:pStyle w:val="Voettekst"/>
      <w:ind w:right="1134"/>
      <w:rPr>
        <w:sz w:val="20"/>
      </w:rPr>
    </w:pPr>
    <w:r>
      <w:rPr>
        <w:sz w:val="20"/>
      </w:rPr>
      <w:t>GE.22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7819A" w14:textId="77777777" w:rsidR="00AC00EB" w:rsidRPr="00317DC1" w:rsidRDefault="00AC00EB" w:rsidP="00317DC1">
      <w:pPr>
        <w:tabs>
          <w:tab w:val="right" w:pos="2155"/>
        </w:tabs>
        <w:spacing w:after="80" w:line="240" w:lineRule="auto"/>
        <w:ind w:left="680"/>
      </w:pPr>
      <w:r>
        <w:rPr>
          <w:u w:val="single"/>
        </w:rPr>
        <w:tab/>
      </w:r>
    </w:p>
  </w:footnote>
  <w:footnote w:type="continuationSeparator" w:id="0">
    <w:p w14:paraId="39DE9309" w14:textId="77777777" w:rsidR="00AC00EB" w:rsidRPr="00317DC1" w:rsidRDefault="00AC00EB" w:rsidP="00317DC1">
      <w:pPr>
        <w:tabs>
          <w:tab w:val="right" w:pos="2155"/>
        </w:tabs>
        <w:spacing w:after="80" w:line="240" w:lineRule="auto"/>
        <w:ind w:left="680"/>
      </w:pPr>
      <w:r>
        <w:rPr>
          <w:u w:val="single"/>
        </w:rPr>
        <w:tab/>
      </w:r>
    </w:p>
  </w:footnote>
  <w:footnote w:id="1">
    <w:p w14:paraId="437C2F75" w14:textId="664AC983" w:rsidR="00154A96" w:rsidRPr="00154A96" w:rsidRDefault="00154A96" w:rsidP="00154A96">
      <w:pPr>
        <w:pStyle w:val="Voetnoottekst"/>
        <w:rPr>
          <w:lang w:val="nl-NL"/>
        </w:rPr>
      </w:pPr>
      <w:r w:rsidRPr="00154A96">
        <w:rPr>
          <w:lang w:val="nl-NL"/>
        </w:rPr>
        <w:tab/>
        <w:t>*</w:t>
      </w:r>
      <w:r w:rsidRPr="00154A96">
        <w:rPr>
          <w:lang w:val="nl-NL"/>
        </w:rPr>
        <w:tab/>
        <w:t>Aangenomen door het Comité op zijn zeven</w:t>
      </w:r>
      <w:r>
        <w:rPr>
          <w:lang w:val="nl-NL"/>
        </w:rPr>
        <w:t>en</w:t>
      </w:r>
      <w:r w:rsidRPr="00154A96">
        <w:rPr>
          <w:lang w:val="nl-NL"/>
        </w:rPr>
        <w:t xml:space="preserve">twintigste zitting </w:t>
      </w:r>
      <w:r>
        <w:rPr>
          <w:lang w:val="nl-NL"/>
        </w:rPr>
        <w:t>(</w:t>
      </w:r>
      <w:r w:rsidRPr="00154A96">
        <w:rPr>
          <w:lang w:val="nl-NL"/>
        </w:rPr>
        <w:t xml:space="preserve">15 augustus-9 september 2022). </w:t>
      </w:r>
    </w:p>
  </w:footnote>
  <w:footnote w:id="2">
    <w:p w14:paraId="14FD7020" w14:textId="3456C28A" w:rsidR="00F6202B" w:rsidRPr="00301F00" w:rsidRDefault="002755DB">
      <w:pPr>
        <w:pStyle w:val="Voetnoottekst"/>
        <w:rPr>
          <w:szCs w:val="18"/>
          <w:lang w:val="en-US"/>
        </w:rPr>
      </w:pPr>
      <w:r w:rsidRPr="00154A96">
        <w:rPr>
          <w:szCs w:val="18"/>
          <w:lang w:val="nl-NL"/>
        </w:rPr>
        <w:tab/>
      </w:r>
      <w:r w:rsidRPr="00154A96">
        <w:rPr>
          <w:rStyle w:val="Voetnootmarkering"/>
          <w:lang w:val="nl-NL"/>
        </w:rPr>
        <w:footnoteRef/>
      </w:r>
      <w:r w:rsidRPr="00301F00">
        <w:rPr>
          <w:szCs w:val="18"/>
          <w:lang w:val="en-US"/>
        </w:rPr>
        <w:tab/>
      </w:r>
      <w:r w:rsidRPr="00301F00">
        <w:rPr>
          <w:lang w:val="en-US"/>
        </w:rPr>
        <w:t>Comité voor economische, sociale en culturele rechten</w:t>
      </w:r>
      <w:r w:rsidRPr="00301F00">
        <w:rPr>
          <w:szCs w:val="18"/>
          <w:lang w:val="en-US"/>
        </w:rPr>
        <w:t xml:space="preserve">, </w:t>
      </w:r>
      <w:r w:rsidR="00F95F1D" w:rsidRPr="00301F00">
        <w:rPr>
          <w:szCs w:val="18"/>
          <w:lang w:val="en-US"/>
        </w:rPr>
        <w:t>algemene commentaar</w:t>
      </w:r>
      <w:r w:rsidRPr="00301F00">
        <w:rPr>
          <w:szCs w:val="18"/>
          <w:lang w:val="en-US"/>
        </w:rPr>
        <w:t xml:space="preserve"> nr. 18 (2005), </w:t>
      </w:r>
      <w:r w:rsidR="00974625" w:rsidRPr="00301F00">
        <w:rPr>
          <w:szCs w:val="18"/>
          <w:lang w:val="en-US"/>
        </w:rPr>
        <w:t>par.</w:t>
      </w:r>
      <w:r w:rsidRPr="00301F00">
        <w:rPr>
          <w:szCs w:val="18"/>
          <w:lang w:val="en-US"/>
        </w:rPr>
        <w:t xml:space="preserve"> 1. </w:t>
      </w:r>
    </w:p>
  </w:footnote>
  <w:footnote w:id="3">
    <w:p w14:paraId="59C3256F" w14:textId="77777777" w:rsidR="00F6202B" w:rsidRPr="00301F00" w:rsidRDefault="002755DB">
      <w:pPr>
        <w:pStyle w:val="Voetnoottekst"/>
        <w:rPr>
          <w:szCs w:val="18"/>
          <w:lang w:val="en-US"/>
        </w:rPr>
      </w:pPr>
      <w:r w:rsidRPr="00301F00">
        <w:rPr>
          <w:szCs w:val="18"/>
          <w:lang w:val="en-US"/>
        </w:rPr>
        <w:tab/>
      </w:r>
      <w:r w:rsidRPr="00154A96">
        <w:rPr>
          <w:rStyle w:val="Voetnootmarkering"/>
          <w:lang w:val="nl-NL"/>
        </w:rPr>
        <w:footnoteRef/>
      </w:r>
      <w:r w:rsidRPr="00301F00">
        <w:rPr>
          <w:szCs w:val="18"/>
          <w:lang w:val="en-US"/>
        </w:rPr>
        <w:tab/>
        <w:t>A/HRC/43/41, par. 9.</w:t>
      </w:r>
    </w:p>
  </w:footnote>
  <w:footnote w:id="4">
    <w:p w14:paraId="2E7FFACD" w14:textId="3D272B88" w:rsidR="00F6202B" w:rsidRPr="00301F00" w:rsidRDefault="002755DB">
      <w:pPr>
        <w:pStyle w:val="Voetnoottekst"/>
        <w:rPr>
          <w:szCs w:val="18"/>
          <w:lang w:val="en-US"/>
        </w:rPr>
      </w:pPr>
      <w:r w:rsidRPr="00301F00">
        <w:rPr>
          <w:szCs w:val="18"/>
          <w:lang w:val="en-US"/>
        </w:rPr>
        <w:tab/>
      </w:r>
      <w:r w:rsidRPr="00154A96">
        <w:rPr>
          <w:rStyle w:val="Voetnootmarkering"/>
          <w:lang w:val="nl-NL"/>
        </w:rPr>
        <w:footnoteRef/>
      </w:r>
      <w:bookmarkStart w:id="5" w:name="_Hlk82425275"/>
      <w:r w:rsidRPr="00301F00">
        <w:rPr>
          <w:szCs w:val="18"/>
          <w:lang w:val="en-US"/>
        </w:rPr>
        <w:tab/>
      </w:r>
      <w:r w:rsidR="00A61F04" w:rsidRPr="00301F00">
        <w:rPr>
          <w:i/>
          <w:szCs w:val="18"/>
          <w:lang w:val="en-US"/>
        </w:rPr>
        <w:t>Disability and Development Report</w:t>
      </w:r>
      <w:r w:rsidRPr="00301F00">
        <w:rPr>
          <w:i/>
          <w:szCs w:val="18"/>
          <w:lang w:val="en-US"/>
        </w:rPr>
        <w:t xml:space="preserve">: Realizing the Sustainable Development Goals by, for and with Persons with Disabilities - 2018 </w:t>
      </w:r>
      <w:r w:rsidRPr="00301F00">
        <w:rPr>
          <w:szCs w:val="18"/>
          <w:lang w:val="en-US"/>
        </w:rPr>
        <w:t>(publicatie van de Verenigde Naties, 2019), blz. 155-158.</w:t>
      </w:r>
      <w:bookmarkEnd w:id="5"/>
    </w:p>
  </w:footnote>
  <w:footnote w:id="5">
    <w:p w14:paraId="7EC55E64" w14:textId="51C76B69" w:rsidR="00F6202B" w:rsidRPr="00301F00" w:rsidRDefault="002755DB">
      <w:pPr>
        <w:pStyle w:val="Voetnoottekst"/>
        <w:rPr>
          <w:szCs w:val="18"/>
          <w:lang w:val="en-US"/>
        </w:rPr>
      </w:pPr>
      <w:r w:rsidRPr="00301F00">
        <w:rPr>
          <w:szCs w:val="18"/>
          <w:lang w:val="en-US"/>
        </w:rPr>
        <w:tab/>
      </w:r>
      <w:r w:rsidRPr="00154A96">
        <w:rPr>
          <w:rStyle w:val="Voetnootmarkering"/>
          <w:lang w:val="nl-NL"/>
        </w:rPr>
        <w:footnoteRef/>
      </w:r>
      <w:r w:rsidRPr="00301F00">
        <w:rPr>
          <w:szCs w:val="18"/>
          <w:lang w:val="en-US"/>
        </w:rPr>
        <w:tab/>
        <w:t>Zie International Labour Organization (ILO)</w:t>
      </w:r>
      <w:r w:rsidR="00A61F04" w:rsidRPr="00301F00">
        <w:rPr>
          <w:szCs w:val="18"/>
          <w:lang w:val="en-US"/>
        </w:rPr>
        <w:t>,</w:t>
      </w:r>
      <w:r w:rsidRPr="00301F00">
        <w:rPr>
          <w:szCs w:val="18"/>
          <w:lang w:val="en-US"/>
        </w:rPr>
        <w:t xml:space="preserve"> Global Business and Disability Network en Fundación ONCE, </w:t>
      </w:r>
      <w:r w:rsidR="00154A96" w:rsidRPr="00301F00">
        <w:rPr>
          <w:szCs w:val="18"/>
          <w:lang w:val="en-US"/>
        </w:rPr>
        <w:t>“</w:t>
      </w:r>
      <w:r w:rsidRPr="00301F00">
        <w:rPr>
          <w:szCs w:val="18"/>
          <w:lang w:val="en-US"/>
        </w:rPr>
        <w:t>Making the future of work inclusive of persons with disabilities</w:t>
      </w:r>
      <w:r w:rsidR="00154A96" w:rsidRPr="00301F00">
        <w:rPr>
          <w:szCs w:val="18"/>
          <w:lang w:val="en-US"/>
        </w:rPr>
        <w:t>”</w:t>
      </w:r>
      <w:r w:rsidRPr="00301F00">
        <w:rPr>
          <w:szCs w:val="18"/>
          <w:lang w:val="en-US"/>
        </w:rPr>
        <w:t>, 21 november 2019.</w:t>
      </w:r>
    </w:p>
  </w:footnote>
  <w:footnote w:id="6">
    <w:p w14:paraId="74C30CF3" w14:textId="0D051D53" w:rsidR="00F6202B" w:rsidRPr="00154A96" w:rsidRDefault="002755DB">
      <w:pPr>
        <w:pStyle w:val="Voetnoottekst"/>
        <w:rPr>
          <w:szCs w:val="18"/>
          <w:lang w:val="nl-NL"/>
        </w:rPr>
      </w:pPr>
      <w:r w:rsidRPr="00301F00">
        <w:rPr>
          <w:szCs w:val="18"/>
          <w:lang w:val="en-US"/>
        </w:rPr>
        <w:tab/>
      </w:r>
      <w:r w:rsidRPr="00154A96">
        <w:rPr>
          <w:rStyle w:val="Voetnootmarkering"/>
          <w:lang w:val="nl-NL"/>
        </w:rPr>
        <w:footnoteRef/>
      </w:r>
      <w:r w:rsidRPr="00154A96">
        <w:rPr>
          <w:szCs w:val="18"/>
          <w:lang w:val="nl-NL"/>
        </w:rPr>
        <w:tab/>
        <w:t xml:space="preserve">Artikel 27, lid 1, aanhef, en lid 1, onder b) en c), houden rechtstreeks verband met drie onderling afhankelijke artikelen van het Internationaal Verdrag inzake economische, sociale en culturele rechten, namelijk de artikelen 6, 7 en 8. Het Comité voor economische, sociale en culturele rechten heeft algemene </w:t>
      </w:r>
      <w:r w:rsidR="00BF6216" w:rsidRPr="00154A96">
        <w:rPr>
          <w:szCs w:val="18"/>
          <w:lang w:val="nl-NL"/>
        </w:rPr>
        <w:t>commentaren geformuleerd</w:t>
      </w:r>
      <w:r w:rsidRPr="00154A96">
        <w:rPr>
          <w:szCs w:val="18"/>
          <w:lang w:val="nl-NL"/>
        </w:rPr>
        <w:t xml:space="preserve"> over de artikelen 6 en 7 van het Verdrag.</w:t>
      </w:r>
    </w:p>
  </w:footnote>
  <w:footnote w:id="7">
    <w:p w14:paraId="79D4B265" w14:textId="618CACB5" w:rsidR="00F6202B" w:rsidRPr="00154A96" w:rsidRDefault="002755DB">
      <w:pPr>
        <w:pStyle w:val="Voetnoottekst"/>
        <w:rPr>
          <w:szCs w:val="18"/>
          <w:lang w:val="nl-NL"/>
        </w:rPr>
      </w:pPr>
      <w:r w:rsidRPr="00154A96">
        <w:rPr>
          <w:szCs w:val="18"/>
          <w:lang w:val="nl-NL"/>
        </w:rPr>
        <w:tab/>
      </w:r>
      <w:r w:rsidRPr="00154A96">
        <w:rPr>
          <w:rStyle w:val="Voetnootmarkering"/>
          <w:lang w:val="nl-NL"/>
        </w:rPr>
        <w:footnoteRef/>
      </w:r>
      <w:r w:rsidRPr="00154A96">
        <w:rPr>
          <w:szCs w:val="18"/>
          <w:lang w:val="nl-NL"/>
        </w:rPr>
        <w:tab/>
      </w:r>
      <w:bookmarkStart w:id="6" w:name="_Hlk109982154"/>
      <w:r w:rsidRPr="00154A96">
        <w:rPr>
          <w:szCs w:val="18"/>
          <w:lang w:val="nl-NL"/>
        </w:rPr>
        <w:t xml:space="preserve">Comité voor de rechten van personen met een handicap, </w:t>
      </w:r>
      <w:r w:rsidR="00F95F1D" w:rsidRPr="00154A96">
        <w:rPr>
          <w:szCs w:val="18"/>
          <w:lang w:val="nl-NL"/>
        </w:rPr>
        <w:t>algemene commentaar</w:t>
      </w:r>
      <w:bookmarkStart w:id="7" w:name="_Hlk103335805"/>
      <w:r w:rsidRPr="00154A96">
        <w:rPr>
          <w:szCs w:val="18"/>
          <w:lang w:val="nl-NL"/>
        </w:rPr>
        <w:t xml:space="preserve"> nr. 6 (2018), par. 2.</w:t>
      </w:r>
      <w:bookmarkEnd w:id="6"/>
      <w:bookmarkEnd w:id="7"/>
    </w:p>
  </w:footnote>
  <w:footnote w:id="8">
    <w:p w14:paraId="6FCCD116" w14:textId="324D0779" w:rsidR="00F6202B" w:rsidRPr="00154A96" w:rsidRDefault="002755DB">
      <w:pPr>
        <w:pStyle w:val="Voetnoottekst"/>
        <w:rPr>
          <w:lang w:val="nl-NL"/>
        </w:rPr>
      </w:pPr>
      <w:r w:rsidRPr="00154A96">
        <w:rPr>
          <w:lang w:val="nl-NL"/>
        </w:rPr>
        <w:tab/>
      </w:r>
      <w:r w:rsidRPr="00154A96">
        <w:rPr>
          <w:rStyle w:val="Voetnootmarkering"/>
          <w:lang w:val="nl-NL"/>
        </w:rPr>
        <w:footnoteRef/>
      </w:r>
      <w:r w:rsidR="00253F57" w:rsidRPr="00154A96">
        <w:rPr>
          <w:lang w:val="nl-NL"/>
        </w:rPr>
        <w:tab/>
      </w:r>
      <w:r w:rsidR="00A61F04" w:rsidRPr="00154A96">
        <w:rPr>
          <w:lang w:val="nl-NL"/>
        </w:rPr>
        <w:t>Ibid.</w:t>
      </w:r>
      <w:r w:rsidRPr="00154A96">
        <w:rPr>
          <w:lang w:val="nl-NL"/>
        </w:rPr>
        <w:t>, par. 8.</w:t>
      </w:r>
    </w:p>
  </w:footnote>
  <w:footnote w:id="9">
    <w:p w14:paraId="23629CA6" w14:textId="4E2138ED" w:rsidR="00A61F04" w:rsidRPr="00154A96" w:rsidRDefault="00A61F04">
      <w:pPr>
        <w:pStyle w:val="Voetnoottekst"/>
        <w:rPr>
          <w:lang w:val="nl-NL"/>
        </w:rPr>
      </w:pPr>
      <w:r w:rsidRPr="00154A96">
        <w:rPr>
          <w:rStyle w:val="Voetnootmarkering"/>
          <w:lang w:val="nl-NL"/>
        </w:rPr>
        <w:footnoteRef/>
      </w:r>
      <w:r w:rsidRPr="00154A96">
        <w:rPr>
          <w:lang w:val="nl-NL"/>
        </w:rPr>
        <w:t xml:space="preserve"> </w:t>
      </w:r>
      <w:r w:rsidR="00154A96">
        <w:rPr>
          <w:lang w:val="nl-NL"/>
        </w:rPr>
        <w:t xml:space="preserve">Zie </w:t>
      </w:r>
      <w:r w:rsidR="00154A96" w:rsidRPr="00301F00">
        <w:rPr>
          <w:lang w:val="nl-BE"/>
        </w:rPr>
        <w:t>https://www.ilo.org/global/standards/introduction-to-international-labour-standards/conventions-and-recommendations/lang--en/index.htm</w:t>
      </w:r>
    </w:p>
  </w:footnote>
  <w:footnote w:id="10">
    <w:p w14:paraId="1F7E37B3" w14:textId="5294ACB5" w:rsidR="00F6202B" w:rsidRPr="00154A96" w:rsidRDefault="002755DB">
      <w:pPr>
        <w:pStyle w:val="Voetnoottekst"/>
        <w:rPr>
          <w:szCs w:val="18"/>
          <w:lang w:val="nl-NL"/>
        </w:rPr>
      </w:pPr>
      <w:r w:rsidRPr="00154A96">
        <w:rPr>
          <w:szCs w:val="18"/>
          <w:lang w:val="nl-NL"/>
        </w:rPr>
        <w:tab/>
      </w:r>
      <w:r w:rsidRPr="00154A96">
        <w:rPr>
          <w:rStyle w:val="Voetnootmarkering"/>
          <w:lang w:val="nl-NL"/>
        </w:rPr>
        <w:footnoteRef/>
      </w:r>
      <w:r w:rsidRPr="00154A96">
        <w:rPr>
          <w:szCs w:val="18"/>
          <w:lang w:val="nl-NL"/>
        </w:rPr>
        <w:tab/>
      </w:r>
      <w:bookmarkStart w:id="11" w:name="_Hlk103941965"/>
      <w:r w:rsidRPr="00154A96">
        <w:rPr>
          <w:lang w:val="nl-NL"/>
        </w:rPr>
        <w:t>Comité voor economische, sociale en culturele rechten</w:t>
      </w:r>
      <w:r w:rsidRPr="00154A96">
        <w:rPr>
          <w:szCs w:val="18"/>
          <w:lang w:val="nl-NL"/>
        </w:rPr>
        <w:t xml:space="preserve">, </w:t>
      </w:r>
      <w:r w:rsidR="00F95F1D" w:rsidRPr="00154A96">
        <w:rPr>
          <w:szCs w:val="18"/>
          <w:lang w:val="nl-NL"/>
        </w:rPr>
        <w:t>algemene commentaar</w:t>
      </w:r>
      <w:r w:rsidRPr="00154A96">
        <w:rPr>
          <w:szCs w:val="18"/>
          <w:lang w:val="nl-NL"/>
        </w:rPr>
        <w:t xml:space="preserve"> nr. 5 (1994), </w:t>
      </w:r>
      <w:r w:rsidR="00974625" w:rsidRPr="00154A96">
        <w:rPr>
          <w:szCs w:val="18"/>
          <w:lang w:val="nl-NL"/>
        </w:rPr>
        <w:t>par.</w:t>
      </w:r>
      <w:r w:rsidRPr="00154A96">
        <w:rPr>
          <w:szCs w:val="18"/>
          <w:lang w:val="nl-NL"/>
        </w:rPr>
        <w:t xml:space="preserve"> 21.</w:t>
      </w:r>
      <w:bookmarkEnd w:id="11"/>
    </w:p>
  </w:footnote>
  <w:footnote w:id="11">
    <w:p w14:paraId="482B877F" w14:textId="56E2C80B" w:rsidR="00F6202B" w:rsidRPr="00154A96" w:rsidRDefault="002755DB">
      <w:pPr>
        <w:pStyle w:val="Voetnoottekst"/>
        <w:rPr>
          <w:szCs w:val="18"/>
          <w:lang w:val="nl-NL"/>
        </w:rPr>
      </w:pPr>
      <w:r w:rsidRPr="00154A96">
        <w:rPr>
          <w:szCs w:val="18"/>
          <w:lang w:val="nl-NL"/>
        </w:rPr>
        <w:tab/>
      </w:r>
      <w:r w:rsidRPr="00154A96">
        <w:rPr>
          <w:rStyle w:val="Voetnootmarkering"/>
          <w:lang w:val="nl-NL"/>
        </w:rPr>
        <w:footnoteRef/>
      </w:r>
      <w:r w:rsidRPr="00154A96">
        <w:rPr>
          <w:szCs w:val="18"/>
          <w:lang w:val="nl-NL"/>
        </w:rPr>
        <w:tab/>
      </w:r>
      <w:r w:rsidRPr="00154A96">
        <w:rPr>
          <w:lang w:val="nl-NL"/>
        </w:rPr>
        <w:t>Comité voor economische, sociale en culturele rechten</w:t>
      </w:r>
      <w:r w:rsidRPr="00154A96">
        <w:rPr>
          <w:szCs w:val="18"/>
          <w:lang w:val="nl-NL"/>
        </w:rPr>
        <w:t xml:space="preserve">, </w:t>
      </w:r>
      <w:r w:rsidR="00F95F1D" w:rsidRPr="00154A96">
        <w:rPr>
          <w:szCs w:val="18"/>
          <w:lang w:val="nl-NL"/>
        </w:rPr>
        <w:t>algemene commentaar</w:t>
      </w:r>
      <w:r w:rsidRPr="00154A96">
        <w:rPr>
          <w:szCs w:val="18"/>
          <w:lang w:val="nl-NL"/>
        </w:rPr>
        <w:t xml:space="preserve"> nr. 23 (2016), </w:t>
      </w:r>
      <w:r w:rsidR="00974625" w:rsidRPr="00154A96">
        <w:rPr>
          <w:szCs w:val="18"/>
          <w:lang w:val="nl-NL"/>
        </w:rPr>
        <w:t>par.</w:t>
      </w:r>
      <w:r w:rsidRPr="00154A96">
        <w:rPr>
          <w:szCs w:val="18"/>
          <w:lang w:val="nl-NL"/>
        </w:rPr>
        <w:t xml:space="preserve"> 47 (c).</w:t>
      </w:r>
    </w:p>
  </w:footnote>
  <w:footnote w:id="12">
    <w:p w14:paraId="48F9F930" w14:textId="74F3838C" w:rsidR="00F6202B" w:rsidRPr="00154A96" w:rsidRDefault="002755DB">
      <w:pPr>
        <w:pStyle w:val="Voetnoottekst"/>
        <w:rPr>
          <w:szCs w:val="18"/>
          <w:lang w:val="nl-NL"/>
        </w:rPr>
      </w:pPr>
      <w:r w:rsidRPr="00154A96">
        <w:rPr>
          <w:szCs w:val="18"/>
          <w:lang w:val="nl-NL"/>
        </w:rPr>
        <w:tab/>
      </w:r>
      <w:r w:rsidRPr="00154A96">
        <w:rPr>
          <w:rStyle w:val="Voetnootmarkering"/>
          <w:lang w:val="nl-NL"/>
        </w:rPr>
        <w:footnoteRef/>
      </w:r>
      <w:r w:rsidRPr="00154A96">
        <w:rPr>
          <w:szCs w:val="18"/>
          <w:lang w:val="nl-NL"/>
        </w:rPr>
        <w:tab/>
      </w:r>
      <w:r w:rsidRPr="00154A96">
        <w:rPr>
          <w:lang w:val="nl-NL"/>
        </w:rPr>
        <w:t xml:space="preserve">Comité voor economische, sociale en culturele rechten, </w:t>
      </w:r>
      <w:r w:rsidR="00F95F1D" w:rsidRPr="00154A96">
        <w:rPr>
          <w:szCs w:val="18"/>
          <w:lang w:val="nl-NL"/>
        </w:rPr>
        <w:t>algemene commentaar</w:t>
      </w:r>
      <w:r w:rsidRPr="00154A96">
        <w:rPr>
          <w:szCs w:val="18"/>
          <w:lang w:val="nl-NL"/>
        </w:rPr>
        <w:t xml:space="preserve"> nr. 24 (2017), </w:t>
      </w:r>
      <w:r w:rsidR="00974625" w:rsidRPr="00154A96">
        <w:rPr>
          <w:szCs w:val="18"/>
          <w:lang w:val="nl-NL"/>
        </w:rPr>
        <w:t>par.</w:t>
      </w:r>
      <w:r w:rsidRPr="00154A96">
        <w:rPr>
          <w:szCs w:val="18"/>
          <w:lang w:val="nl-NL"/>
        </w:rPr>
        <w:t xml:space="preserve"> 7.</w:t>
      </w:r>
    </w:p>
  </w:footnote>
  <w:footnote w:id="13">
    <w:p w14:paraId="38D98F6A" w14:textId="595E83E3" w:rsidR="00F6202B" w:rsidRPr="00154A96" w:rsidRDefault="002755DB">
      <w:pPr>
        <w:pStyle w:val="Voetnoottekst"/>
        <w:rPr>
          <w:szCs w:val="18"/>
          <w:lang w:val="nl-NL"/>
        </w:rPr>
      </w:pPr>
      <w:r w:rsidRPr="00154A96">
        <w:rPr>
          <w:szCs w:val="18"/>
          <w:lang w:val="nl-NL"/>
        </w:rPr>
        <w:tab/>
      </w:r>
      <w:r w:rsidRPr="00154A96">
        <w:rPr>
          <w:rStyle w:val="Voetnootmarkering"/>
          <w:lang w:val="nl-NL"/>
        </w:rPr>
        <w:footnoteRef/>
      </w:r>
      <w:r w:rsidRPr="00154A96">
        <w:rPr>
          <w:szCs w:val="18"/>
          <w:lang w:val="nl-NL"/>
        </w:rPr>
        <w:tab/>
        <w:t xml:space="preserve">Comité voor de rechten van personen met een handicap, </w:t>
      </w:r>
      <w:r w:rsidR="00F95F1D" w:rsidRPr="00154A96">
        <w:rPr>
          <w:szCs w:val="18"/>
          <w:lang w:val="nl-NL"/>
        </w:rPr>
        <w:t>algemene commentaar</w:t>
      </w:r>
      <w:r w:rsidRPr="00154A96">
        <w:rPr>
          <w:szCs w:val="18"/>
          <w:lang w:val="nl-NL"/>
        </w:rPr>
        <w:t xml:space="preserve"> nr. 6 (2018), </w:t>
      </w:r>
      <w:r w:rsidR="00974625" w:rsidRPr="00154A96">
        <w:rPr>
          <w:szCs w:val="18"/>
          <w:lang w:val="nl-NL"/>
        </w:rPr>
        <w:t>par.</w:t>
      </w:r>
      <w:r w:rsidRPr="00154A96">
        <w:rPr>
          <w:szCs w:val="18"/>
          <w:lang w:val="nl-NL"/>
        </w:rPr>
        <w:t xml:space="preserve"> 67.</w:t>
      </w:r>
    </w:p>
  </w:footnote>
  <w:footnote w:id="14">
    <w:p w14:paraId="0D5F9B58" w14:textId="1F975C28" w:rsidR="00F6202B" w:rsidRPr="00301F00" w:rsidRDefault="002755DB">
      <w:pPr>
        <w:pStyle w:val="Voetnoottekst"/>
        <w:rPr>
          <w:szCs w:val="18"/>
          <w:lang w:val="fr-BE"/>
        </w:rPr>
      </w:pPr>
      <w:r w:rsidRPr="00154A96">
        <w:rPr>
          <w:szCs w:val="18"/>
          <w:lang w:val="nl-NL"/>
        </w:rPr>
        <w:tab/>
      </w:r>
      <w:r w:rsidRPr="00154A96">
        <w:rPr>
          <w:rStyle w:val="Voetnootmarkering"/>
          <w:lang w:val="nl-NL"/>
        </w:rPr>
        <w:footnoteRef/>
      </w:r>
      <w:r w:rsidRPr="00301F00">
        <w:rPr>
          <w:szCs w:val="18"/>
          <w:lang w:val="fr-BE"/>
        </w:rPr>
        <w:tab/>
        <w:t xml:space="preserve">Ibid., </w:t>
      </w:r>
      <w:r w:rsidR="00974625" w:rsidRPr="00301F00">
        <w:rPr>
          <w:szCs w:val="18"/>
          <w:lang w:val="fr-BE"/>
        </w:rPr>
        <w:t>par.</w:t>
      </w:r>
      <w:r w:rsidRPr="00301F00">
        <w:rPr>
          <w:szCs w:val="18"/>
          <w:lang w:val="fr-BE"/>
        </w:rPr>
        <w:t xml:space="preserve"> 18 (a).</w:t>
      </w:r>
    </w:p>
  </w:footnote>
  <w:footnote w:id="15">
    <w:p w14:paraId="27D73D89" w14:textId="69B910DE" w:rsidR="00F6202B" w:rsidRPr="00301F00" w:rsidRDefault="002755DB">
      <w:pPr>
        <w:pStyle w:val="Voetnoottekst"/>
        <w:rPr>
          <w:szCs w:val="18"/>
          <w:lang w:val="fr-BE"/>
        </w:rPr>
      </w:pPr>
      <w:r w:rsidRPr="00301F00">
        <w:rPr>
          <w:szCs w:val="18"/>
          <w:lang w:val="fr-BE"/>
        </w:rPr>
        <w:tab/>
      </w:r>
      <w:r w:rsidRPr="00154A96">
        <w:rPr>
          <w:rStyle w:val="Voetnootmarkering"/>
          <w:lang w:val="nl-NL"/>
        </w:rPr>
        <w:footnoteRef/>
      </w:r>
      <w:r w:rsidRPr="00301F00">
        <w:rPr>
          <w:szCs w:val="18"/>
          <w:lang w:val="fr-BE"/>
        </w:rPr>
        <w:tab/>
        <w:t xml:space="preserve">Ibid., </w:t>
      </w:r>
      <w:r w:rsidR="00974625" w:rsidRPr="00301F00">
        <w:rPr>
          <w:szCs w:val="18"/>
          <w:lang w:val="fr-BE"/>
        </w:rPr>
        <w:t>par.</w:t>
      </w:r>
      <w:r w:rsidRPr="00301F00">
        <w:rPr>
          <w:szCs w:val="18"/>
          <w:lang w:val="fr-BE"/>
        </w:rPr>
        <w:t xml:space="preserve"> 18 (b).</w:t>
      </w:r>
    </w:p>
  </w:footnote>
  <w:footnote w:id="16">
    <w:p w14:paraId="07607DF3" w14:textId="6ADBB041" w:rsidR="00F6202B" w:rsidRPr="00301F00" w:rsidRDefault="002755DB">
      <w:pPr>
        <w:pStyle w:val="Voetnoottekst"/>
        <w:rPr>
          <w:szCs w:val="18"/>
          <w:lang w:val="fr-BE"/>
        </w:rPr>
      </w:pPr>
      <w:r w:rsidRPr="00301F00">
        <w:rPr>
          <w:szCs w:val="18"/>
          <w:lang w:val="fr-BE"/>
        </w:rPr>
        <w:tab/>
      </w:r>
      <w:r w:rsidRPr="00154A96">
        <w:rPr>
          <w:rStyle w:val="Voetnootmarkering"/>
          <w:lang w:val="nl-NL"/>
        </w:rPr>
        <w:footnoteRef/>
      </w:r>
      <w:bookmarkStart w:id="18" w:name="_Hlk83823673"/>
      <w:r w:rsidRPr="00301F00">
        <w:rPr>
          <w:szCs w:val="18"/>
          <w:lang w:val="fr-BE"/>
        </w:rPr>
        <w:tab/>
        <w:t xml:space="preserve">Ibid., </w:t>
      </w:r>
      <w:r w:rsidR="00974625" w:rsidRPr="00301F00">
        <w:rPr>
          <w:szCs w:val="18"/>
          <w:lang w:val="fr-BE"/>
        </w:rPr>
        <w:t>par.</w:t>
      </w:r>
      <w:r w:rsidRPr="00301F00">
        <w:rPr>
          <w:szCs w:val="18"/>
          <w:lang w:val="fr-BE"/>
        </w:rPr>
        <w:t xml:space="preserve"> 18 (c).</w:t>
      </w:r>
    </w:p>
    <w:bookmarkEnd w:id="18"/>
  </w:footnote>
  <w:footnote w:id="17">
    <w:p w14:paraId="1BCC8A34" w14:textId="389C8BAD" w:rsidR="00F6202B" w:rsidRPr="00301F00" w:rsidRDefault="002755DB">
      <w:pPr>
        <w:pStyle w:val="Voetnoottekst"/>
        <w:rPr>
          <w:szCs w:val="18"/>
          <w:lang w:val="fr-BE"/>
        </w:rPr>
      </w:pPr>
      <w:r w:rsidRPr="00301F00">
        <w:rPr>
          <w:szCs w:val="18"/>
          <w:lang w:val="fr-BE"/>
        </w:rPr>
        <w:tab/>
      </w:r>
      <w:r w:rsidRPr="00154A96">
        <w:rPr>
          <w:rStyle w:val="Voetnootmarkering"/>
          <w:lang w:val="nl-NL"/>
        </w:rPr>
        <w:footnoteRef/>
      </w:r>
      <w:r w:rsidRPr="00301F00">
        <w:rPr>
          <w:szCs w:val="18"/>
          <w:lang w:val="fr-BE"/>
        </w:rPr>
        <w:tab/>
        <w:t xml:space="preserve">Ibid., </w:t>
      </w:r>
      <w:r w:rsidR="00974625" w:rsidRPr="00301F00">
        <w:rPr>
          <w:szCs w:val="18"/>
          <w:lang w:val="fr-BE"/>
        </w:rPr>
        <w:t>par.</w:t>
      </w:r>
      <w:r w:rsidRPr="00301F00">
        <w:rPr>
          <w:szCs w:val="18"/>
          <w:lang w:val="fr-BE"/>
        </w:rPr>
        <w:t xml:space="preserve"> 23.</w:t>
      </w:r>
    </w:p>
  </w:footnote>
  <w:footnote w:id="18">
    <w:p w14:paraId="10DEA5D7" w14:textId="7209FB0D" w:rsidR="00F6202B" w:rsidRPr="00154A96" w:rsidRDefault="002755DB">
      <w:pPr>
        <w:pStyle w:val="Voetnoottekst"/>
        <w:rPr>
          <w:szCs w:val="18"/>
          <w:lang w:val="nl-NL"/>
        </w:rPr>
      </w:pPr>
      <w:r w:rsidRPr="00301F00">
        <w:rPr>
          <w:szCs w:val="18"/>
          <w:lang w:val="fr-BE"/>
        </w:rPr>
        <w:tab/>
      </w:r>
      <w:r w:rsidRPr="00154A96">
        <w:rPr>
          <w:rStyle w:val="Voetnootmarkering"/>
          <w:lang w:val="nl-NL"/>
        </w:rPr>
        <w:footnoteRef/>
      </w:r>
      <w:r w:rsidRPr="00154A96">
        <w:rPr>
          <w:szCs w:val="18"/>
          <w:lang w:val="nl-NL"/>
        </w:rPr>
        <w:tab/>
        <w:t xml:space="preserve">Ibid., </w:t>
      </w:r>
      <w:r w:rsidR="00974625" w:rsidRPr="00154A96">
        <w:rPr>
          <w:szCs w:val="18"/>
          <w:lang w:val="nl-NL"/>
        </w:rPr>
        <w:t>par.</w:t>
      </w:r>
      <w:r w:rsidR="00A61F04" w:rsidRPr="00154A96">
        <w:rPr>
          <w:szCs w:val="18"/>
          <w:lang w:val="nl-NL"/>
        </w:rPr>
        <w:t xml:space="preserve"> </w:t>
      </w:r>
      <w:r w:rsidRPr="00154A96">
        <w:rPr>
          <w:szCs w:val="18"/>
          <w:lang w:val="nl-NL"/>
        </w:rPr>
        <w:t>24, onder b).</w:t>
      </w:r>
    </w:p>
  </w:footnote>
  <w:footnote w:id="19">
    <w:p w14:paraId="488CDE61" w14:textId="509BE1B7" w:rsidR="00F6202B" w:rsidRPr="00154A96" w:rsidRDefault="002755DB">
      <w:pPr>
        <w:pStyle w:val="Voetnoottekst"/>
        <w:rPr>
          <w:lang w:val="nl-NL"/>
        </w:rPr>
      </w:pPr>
      <w:r w:rsidRPr="00154A96">
        <w:rPr>
          <w:lang w:val="nl-NL"/>
        </w:rPr>
        <w:tab/>
      </w:r>
      <w:r w:rsidRPr="00154A96">
        <w:rPr>
          <w:rStyle w:val="Voetnootmarkering"/>
          <w:lang w:val="nl-NL"/>
        </w:rPr>
        <w:footnoteRef/>
      </w:r>
      <w:r w:rsidRPr="00154A96">
        <w:rPr>
          <w:lang w:val="nl-NL"/>
        </w:rPr>
        <w:t xml:space="preserve"> </w:t>
      </w:r>
      <w:r w:rsidRPr="00154A96">
        <w:rPr>
          <w:lang w:val="nl-NL"/>
        </w:rPr>
        <w:tab/>
        <w:t xml:space="preserve">Ibid., </w:t>
      </w:r>
      <w:r w:rsidR="00974625" w:rsidRPr="00154A96">
        <w:rPr>
          <w:lang w:val="nl-NL"/>
        </w:rPr>
        <w:t>par.</w:t>
      </w:r>
      <w:r w:rsidRPr="00154A96">
        <w:rPr>
          <w:lang w:val="nl-NL"/>
        </w:rPr>
        <w:t xml:space="preserve"> 24, onder a).</w:t>
      </w:r>
    </w:p>
  </w:footnote>
  <w:footnote w:id="20">
    <w:p w14:paraId="5F3C0EB2" w14:textId="318553A0" w:rsidR="00F6202B" w:rsidRPr="00154A96" w:rsidRDefault="002755DB">
      <w:pPr>
        <w:pStyle w:val="Voetnoottekst"/>
        <w:rPr>
          <w:lang w:val="nl-NL"/>
        </w:rPr>
      </w:pPr>
      <w:r w:rsidRPr="00154A96">
        <w:rPr>
          <w:lang w:val="nl-NL"/>
        </w:rPr>
        <w:tab/>
      </w:r>
      <w:r w:rsidRPr="00154A96">
        <w:rPr>
          <w:rStyle w:val="Voetnootmarkering"/>
          <w:lang w:val="nl-NL"/>
        </w:rPr>
        <w:footnoteRef/>
      </w:r>
      <w:r w:rsidRPr="00154A96">
        <w:rPr>
          <w:lang w:val="nl-NL"/>
        </w:rPr>
        <w:t xml:space="preserve"> </w:t>
      </w:r>
      <w:r w:rsidRPr="00154A96">
        <w:rPr>
          <w:lang w:val="nl-NL"/>
        </w:rPr>
        <w:tab/>
        <w:t xml:space="preserve">Ibid., </w:t>
      </w:r>
      <w:r w:rsidR="00974625" w:rsidRPr="00154A96">
        <w:rPr>
          <w:lang w:val="nl-NL"/>
        </w:rPr>
        <w:t>par.</w:t>
      </w:r>
      <w:r w:rsidR="00A61F04" w:rsidRPr="00154A96">
        <w:rPr>
          <w:lang w:val="nl-NL"/>
        </w:rPr>
        <w:t xml:space="preserve"> </w:t>
      </w:r>
      <w:r w:rsidRPr="00154A96">
        <w:rPr>
          <w:lang w:val="nl-NL"/>
        </w:rPr>
        <w:t>24, onder b).</w:t>
      </w:r>
    </w:p>
  </w:footnote>
  <w:footnote w:id="21">
    <w:p w14:paraId="1E0CAC3E" w14:textId="2B978A61" w:rsidR="00F6202B" w:rsidRPr="00154A96" w:rsidRDefault="002755DB">
      <w:pPr>
        <w:pStyle w:val="Voetnoottekst"/>
        <w:rPr>
          <w:lang w:val="nl-NL"/>
        </w:rPr>
      </w:pPr>
      <w:r w:rsidRPr="00154A96">
        <w:rPr>
          <w:lang w:val="nl-NL"/>
        </w:rPr>
        <w:tab/>
      </w:r>
      <w:r w:rsidRPr="00154A96">
        <w:rPr>
          <w:rStyle w:val="Voetnootmarkering"/>
          <w:lang w:val="nl-NL"/>
        </w:rPr>
        <w:footnoteRef/>
      </w:r>
      <w:r w:rsidRPr="00154A96">
        <w:rPr>
          <w:lang w:val="nl-NL"/>
        </w:rPr>
        <w:tab/>
        <w:t xml:space="preserve">Ibid., </w:t>
      </w:r>
      <w:r w:rsidR="00974625" w:rsidRPr="00154A96">
        <w:rPr>
          <w:lang w:val="nl-NL"/>
        </w:rPr>
        <w:t>par.</w:t>
      </w:r>
      <w:r w:rsidRPr="00154A96">
        <w:rPr>
          <w:lang w:val="nl-NL"/>
        </w:rPr>
        <w:t xml:space="preserve"> 18 (d).</w:t>
      </w:r>
    </w:p>
  </w:footnote>
  <w:footnote w:id="22">
    <w:p w14:paraId="67387760" w14:textId="46AD7322" w:rsidR="00F6202B" w:rsidRPr="00154A96" w:rsidRDefault="002755DB">
      <w:pPr>
        <w:pStyle w:val="Voetnoottekst"/>
        <w:rPr>
          <w:lang w:val="nl-NL"/>
        </w:rPr>
      </w:pPr>
      <w:r w:rsidRPr="00154A96">
        <w:rPr>
          <w:lang w:val="nl-NL"/>
        </w:rPr>
        <w:tab/>
      </w:r>
      <w:r w:rsidRPr="00154A96">
        <w:rPr>
          <w:rStyle w:val="Voetnootmarkering"/>
          <w:lang w:val="nl-NL"/>
        </w:rPr>
        <w:footnoteRef/>
      </w:r>
      <w:r w:rsidR="00163F72" w:rsidRPr="00154A96">
        <w:rPr>
          <w:lang w:val="nl-NL"/>
        </w:rPr>
        <w:tab/>
      </w:r>
      <w:r w:rsidRPr="00154A96">
        <w:rPr>
          <w:lang w:val="nl-NL"/>
        </w:rPr>
        <w:t xml:space="preserve">Zie bijvoorbeeld </w:t>
      </w:r>
      <w:r w:rsidR="00737081" w:rsidRPr="00154A96">
        <w:rPr>
          <w:i/>
          <w:iCs/>
          <w:lang w:val="nl-NL"/>
        </w:rPr>
        <w:t xml:space="preserve">Bellini </w:t>
      </w:r>
      <w:r w:rsidR="00A61F04" w:rsidRPr="00154A96">
        <w:rPr>
          <w:i/>
          <w:iCs/>
          <w:lang w:val="nl-NL"/>
        </w:rPr>
        <w:t xml:space="preserve">et al c. </w:t>
      </w:r>
      <w:proofErr w:type="spellStart"/>
      <w:r w:rsidR="00A61F04" w:rsidRPr="00154A96">
        <w:rPr>
          <w:i/>
          <w:iCs/>
          <w:lang w:val="nl-NL"/>
        </w:rPr>
        <w:t>Italie</w:t>
      </w:r>
      <w:proofErr w:type="spellEnd"/>
      <w:r w:rsidR="00A61F04" w:rsidRPr="00154A96">
        <w:rPr>
          <w:lang w:val="nl-NL"/>
        </w:rPr>
        <w:t xml:space="preserve"> (CRPD/C/27/D/51/2018).</w:t>
      </w:r>
    </w:p>
  </w:footnote>
  <w:footnote w:id="23">
    <w:p w14:paraId="7C488832" w14:textId="1275E5C4" w:rsidR="00F6202B" w:rsidRPr="00154A96" w:rsidRDefault="002755DB">
      <w:pPr>
        <w:pStyle w:val="Voetnoottekst"/>
        <w:rPr>
          <w:rFonts w:eastAsia="Calibri"/>
          <w:szCs w:val="18"/>
          <w:lang w:val="nl-NL"/>
        </w:rPr>
      </w:pPr>
      <w:r w:rsidRPr="00154A96">
        <w:rPr>
          <w:szCs w:val="18"/>
          <w:lang w:val="nl-NL"/>
        </w:rPr>
        <w:tab/>
      </w:r>
      <w:r w:rsidRPr="00154A96">
        <w:rPr>
          <w:rStyle w:val="Voetnootmarkering"/>
          <w:lang w:val="nl-NL"/>
        </w:rPr>
        <w:footnoteRef/>
      </w:r>
      <w:r w:rsidRPr="00154A96">
        <w:rPr>
          <w:szCs w:val="18"/>
          <w:lang w:val="nl-NL"/>
        </w:rPr>
        <w:tab/>
        <w:t xml:space="preserve">Comité voor de rechten van personen met een handicap, </w:t>
      </w:r>
      <w:r w:rsidR="00F95F1D" w:rsidRPr="00154A96">
        <w:rPr>
          <w:szCs w:val="18"/>
          <w:lang w:val="nl-NL"/>
        </w:rPr>
        <w:t>algemene commentaar</w:t>
      </w:r>
      <w:r w:rsidRPr="00154A96">
        <w:rPr>
          <w:szCs w:val="18"/>
          <w:lang w:val="nl-NL"/>
        </w:rPr>
        <w:t xml:space="preserve"> nr. 3 (2016), </w:t>
      </w:r>
      <w:r w:rsidR="00974625" w:rsidRPr="00154A96">
        <w:rPr>
          <w:szCs w:val="18"/>
          <w:lang w:val="nl-NL"/>
        </w:rPr>
        <w:t>par.</w:t>
      </w:r>
      <w:r w:rsidRPr="00154A96">
        <w:rPr>
          <w:szCs w:val="18"/>
          <w:lang w:val="nl-NL"/>
        </w:rPr>
        <w:t xml:space="preserve"> 4 (c)</w:t>
      </w:r>
      <w:r w:rsidRPr="00154A96">
        <w:rPr>
          <w:rFonts w:eastAsia="Calibri"/>
          <w:szCs w:val="18"/>
          <w:lang w:val="nl-NL"/>
        </w:rPr>
        <w:t>.</w:t>
      </w:r>
    </w:p>
  </w:footnote>
  <w:footnote w:id="24">
    <w:p w14:paraId="059DDCB4" w14:textId="1A478CB3" w:rsidR="00F6202B" w:rsidRPr="00154A96" w:rsidRDefault="002755DB">
      <w:pPr>
        <w:pStyle w:val="Voetnoottekst"/>
        <w:rPr>
          <w:szCs w:val="18"/>
          <w:lang w:val="nl-NL"/>
        </w:rPr>
      </w:pPr>
      <w:r w:rsidRPr="00154A96">
        <w:rPr>
          <w:szCs w:val="18"/>
          <w:lang w:val="nl-NL"/>
        </w:rPr>
        <w:tab/>
      </w:r>
      <w:r w:rsidRPr="00154A96">
        <w:rPr>
          <w:rStyle w:val="Voetnootmarkering"/>
          <w:lang w:val="nl-NL"/>
        </w:rPr>
        <w:footnoteRef/>
      </w:r>
      <w:r w:rsidRPr="00154A96">
        <w:rPr>
          <w:szCs w:val="18"/>
          <w:lang w:val="nl-NL"/>
        </w:rPr>
        <w:tab/>
        <w:t xml:space="preserve">Ibid., </w:t>
      </w:r>
      <w:r w:rsidR="00974625" w:rsidRPr="00154A96">
        <w:rPr>
          <w:szCs w:val="18"/>
          <w:lang w:val="nl-NL"/>
        </w:rPr>
        <w:t>par.</w:t>
      </w:r>
      <w:r w:rsidRPr="00154A96">
        <w:rPr>
          <w:szCs w:val="18"/>
          <w:lang w:val="nl-NL"/>
        </w:rPr>
        <w:t xml:space="preserve"> 16.</w:t>
      </w:r>
    </w:p>
  </w:footnote>
  <w:footnote w:id="25">
    <w:p w14:paraId="1428A6A8" w14:textId="3EA3C3A4" w:rsidR="00F6202B" w:rsidRPr="00154A96" w:rsidRDefault="002755DB">
      <w:pPr>
        <w:pStyle w:val="Voetnoottekst"/>
        <w:ind w:hanging="567"/>
        <w:rPr>
          <w:szCs w:val="18"/>
          <w:lang w:val="nl-NL"/>
        </w:rPr>
      </w:pPr>
      <w:r w:rsidRPr="00154A96">
        <w:rPr>
          <w:szCs w:val="18"/>
          <w:lang w:val="nl-NL"/>
        </w:rPr>
        <w:tab/>
      </w:r>
      <w:r w:rsidRPr="00154A96">
        <w:rPr>
          <w:rStyle w:val="Voetnootmarkering"/>
          <w:lang w:val="nl-NL"/>
        </w:rPr>
        <w:footnoteRef/>
      </w:r>
      <w:r w:rsidRPr="00154A96">
        <w:rPr>
          <w:szCs w:val="18"/>
          <w:lang w:val="nl-NL"/>
        </w:rPr>
        <w:tab/>
      </w:r>
      <w:r w:rsidRPr="00154A96">
        <w:rPr>
          <w:lang w:val="nl-NL"/>
        </w:rPr>
        <w:t xml:space="preserve">Comité voor economische, sociale en culturele rechten, </w:t>
      </w:r>
      <w:r w:rsidR="00F95F1D" w:rsidRPr="00154A96">
        <w:rPr>
          <w:szCs w:val="18"/>
          <w:lang w:val="nl-NL"/>
        </w:rPr>
        <w:t>algemene commentaar</w:t>
      </w:r>
      <w:r w:rsidRPr="00154A96">
        <w:rPr>
          <w:szCs w:val="18"/>
          <w:lang w:val="nl-NL"/>
        </w:rPr>
        <w:t xml:space="preserve"> nr. 23 (2016), </w:t>
      </w:r>
      <w:r w:rsidR="00974625" w:rsidRPr="00154A96">
        <w:rPr>
          <w:szCs w:val="18"/>
          <w:lang w:val="nl-NL"/>
        </w:rPr>
        <w:t>par.</w:t>
      </w:r>
      <w:r w:rsidRPr="00154A96">
        <w:rPr>
          <w:szCs w:val="18"/>
          <w:lang w:val="nl-NL"/>
        </w:rPr>
        <w:t xml:space="preserve"> 47 (c).</w:t>
      </w:r>
    </w:p>
  </w:footnote>
  <w:footnote w:id="26">
    <w:p w14:paraId="768E3685" w14:textId="15F06B42" w:rsidR="00F6202B" w:rsidRPr="00154A96" w:rsidRDefault="002755DB">
      <w:pPr>
        <w:pStyle w:val="Voetnoottekst"/>
        <w:rPr>
          <w:szCs w:val="18"/>
          <w:lang w:val="nl-NL"/>
        </w:rPr>
      </w:pPr>
      <w:r w:rsidRPr="00154A96">
        <w:rPr>
          <w:szCs w:val="18"/>
          <w:lang w:val="nl-NL"/>
        </w:rPr>
        <w:tab/>
      </w:r>
      <w:r w:rsidRPr="00154A96">
        <w:rPr>
          <w:rStyle w:val="Voetnootmarkering"/>
          <w:lang w:val="nl-NL"/>
        </w:rPr>
        <w:footnoteRef/>
      </w:r>
      <w:bookmarkStart w:id="20" w:name="_Hlk83833904"/>
      <w:r w:rsidRPr="00154A96">
        <w:rPr>
          <w:szCs w:val="18"/>
          <w:lang w:val="nl-NL"/>
        </w:rPr>
        <w:tab/>
        <w:t xml:space="preserve">Ibid., </w:t>
      </w:r>
      <w:r w:rsidR="00974625" w:rsidRPr="00154A96">
        <w:rPr>
          <w:szCs w:val="18"/>
          <w:lang w:val="nl-NL"/>
        </w:rPr>
        <w:t>par.</w:t>
      </w:r>
      <w:r w:rsidRPr="00154A96">
        <w:rPr>
          <w:szCs w:val="18"/>
          <w:lang w:val="nl-NL"/>
        </w:rPr>
        <w:t xml:space="preserve"> 5</w:t>
      </w:r>
      <w:bookmarkEnd w:id="20"/>
      <w:r w:rsidRPr="00154A96">
        <w:rPr>
          <w:szCs w:val="18"/>
          <w:lang w:val="nl-NL"/>
        </w:rPr>
        <w:t xml:space="preserve"> .</w:t>
      </w:r>
    </w:p>
  </w:footnote>
  <w:footnote w:id="27">
    <w:p w14:paraId="48CE950F" w14:textId="1B258F9D" w:rsidR="00F6202B" w:rsidRPr="00154A96" w:rsidRDefault="002755DB">
      <w:pPr>
        <w:pStyle w:val="Voetnoottekst"/>
        <w:rPr>
          <w:szCs w:val="18"/>
          <w:lang w:val="nl-NL"/>
        </w:rPr>
      </w:pPr>
      <w:r w:rsidRPr="00154A96">
        <w:rPr>
          <w:szCs w:val="18"/>
          <w:lang w:val="nl-NL"/>
        </w:rPr>
        <w:tab/>
      </w:r>
      <w:r w:rsidRPr="00154A96">
        <w:rPr>
          <w:rStyle w:val="Voetnootmarkering"/>
          <w:lang w:val="nl-NL"/>
        </w:rPr>
        <w:footnoteRef/>
      </w:r>
      <w:r w:rsidRPr="00154A96">
        <w:rPr>
          <w:szCs w:val="18"/>
          <w:lang w:val="nl-NL"/>
        </w:rPr>
        <w:tab/>
        <w:t xml:space="preserve">Zie </w:t>
      </w:r>
      <w:r w:rsidRPr="00154A96">
        <w:rPr>
          <w:lang w:val="nl-NL"/>
        </w:rPr>
        <w:t xml:space="preserve">Comité voor economische, sociale en culturele rechten, </w:t>
      </w:r>
      <w:r w:rsidR="00F95F1D" w:rsidRPr="00154A96">
        <w:rPr>
          <w:szCs w:val="18"/>
          <w:lang w:val="nl-NL"/>
        </w:rPr>
        <w:t>algemene commentaar</w:t>
      </w:r>
      <w:r w:rsidRPr="00154A96">
        <w:rPr>
          <w:szCs w:val="18"/>
          <w:lang w:val="nl-NL"/>
        </w:rPr>
        <w:t xml:space="preserve"> nr. 23 (2016) voor meer details. </w:t>
      </w:r>
    </w:p>
  </w:footnote>
  <w:footnote w:id="28">
    <w:p w14:paraId="38394D52" w14:textId="188A9780" w:rsidR="00F6202B" w:rsidRPr="00154A96" w:rsidRDefault="002755DB">
      <w:pPr>
        <w:pStyle w:val="Voetnoottekst"/>
        <w:rPr>
          <w:szCs w:val="18"/>
          <w:lang w:val="nl-NL"/>
        </w:rPr>
      </w:pPr>
      <w:r w:rsidRPr="00154A96">
        <w:rPr>
          <w:szCs w:val="18"/>
          <w:lang w:val="nl-NL"/>
        </w:rPr>
        <w:tab/>
      </w:r>
      <w:r w:rsidRPr="00154A96">
        <w:rPr>
          <w:rStyle w:val="Voetnootmarkering"/>
          <w:lang w:val="nl-NL"/>
        </w:rPr>
        <w:footnoteRef/>
      </w:r>
      <w:r w:rsidRPr="00154A96">
        <w:rPr>
          <w:szCs w:val="18"/>
          <w:lang w:val="nl-NL"/>
        </w:rPr>
        <w:tab/>
        <w:t xml:space="preserve">Comité voor de rechten van personen met een handicap, </w:t>
      </w:r>
      <w:r w:rsidR="00F95F1D" w:rsidRPr="00154A96">
        <w:rPr>
          <w:szCs w:val="18"/>
          <w:lang w:val="nl-NL"/>
        </w:rPr>
        <w:t>algemene commentaar</w:t>
      </w:r>
      <w:r w:rsidRPr="00154A96">
        <w:rPr>
          <w:szCs w:val="18"/>
          <w:lang w:val="nl-NL"/>
        </w:rPr>
        <w:t xml:space="preserve"> nr. 6 (2018), par. 22.</w:t>
      </w:r>
    </w:p>
  </w:footnote>
  <w:footnote w:id="29">
    <w:p w14:paraId="095819B6" w14:textId="598E9CAD" w:rsidR="00F6202B" w:rsidRPr="00154A96" w:rsidRDefault="002755DB">
      <w:pPr>
        <w:pStyle w:val="Voetnoottekst"/>
        <w:rPr>
          <w:szCs w:val="18"/>
          <w:lang w:val="nl-NL"/>
        </w:rPr>
      </w:pPr>
      <w:r w:rsidRPr="00154A96">
        <w:rPr>
          <w:szCs w:val="18"/>
          <w:lang w:val="nl-NL"/>
        </w:rPr>
        <w:tab/>
      </w:r>
      <w:r w:rsidRPr="00154A96">
        <w:rPr>
          <w:rStyle w:val="Voetnootmarkering"/>
          <w:lang w:val="nl-NL"/>
        </w:rPr>
        <w:footnoteRef/>
      </w:r>
      <w:r w:rsidRPr="00154A96">
        <w:rPr>
          <w:szCs w:val="18"/>
          <w:lang w:val="nl-NL"/>
        </w:rPr>
        <w:tab/>
      </w:r>
      <w:r w:rsidRPr="00154A96">
        <w:rPr>
          <w:lang w:val="nl-NL"/>
        </w:rPr>
        <w:t xml:space="preserve">Comité voor economische, sociale en culturele rechten, </w:t>
      </w:r>
      <w:r w:rsidRPr="00154A96">
        <w:rPr>
          <w:szCs w:val="18"/>
          <w:lang w:val="nl-NL"/>
        </w:rPr>
        <w:t>algemen</w:t>
      </w:r>
      <w:r w:rsidR="00F95F1D" w:rsidRPr="00154A96">
        <w:rPr>
          <w:szCs w:val="18"/>
          <w:lang w:val="nl-NL"/>
        </w:rPr>
        <w:t>e</w:t>
      </w:r>
      <w:r w:rsidRPr="00154A96">
        <w:rPr>
          <w:szCs w:val="18"/>
          <w:lang w:val="nl-NL"/>
        </w:rPr>
        <w:t xml:space="preserve"> commentaar nr. 18 (2005), </w:t>
      </w:r>
      <w:r w:rsidR="00974625" w:rsidRPr="00154A96">
        <w:rPr>
          <w:szCs w:val="18"/>
          <w:lang w:val="nl-NL"/>
        </w:rPr>
        <w:t>par.</w:t>
      </w:r>
      <w:r w:rsidRPr="00154A96">
        <w:rPr>
          <w:szCs w:val="18"/>
          <w:lang w:val="nl-NL"/>
        </w:rPr>
        <w:t xml:space="preserve"> 51.</w:t>
      </w:r>
    </w:p>
  </w:footnote>
  <w:footnote w:id="30">
    <w:p w14:paraId="13DF0335" w14:textId="594D7D58" w:rsidR="00F6202B" w:rsidRPr="00154A96" w:rsidRDefault="002755DB">
      <w:pPr>
        <w:pStyle w:val="Voetnoottekst"/>
        <w:rPr>
          <w:szCs w:val="18"/>
          <w:lang w:val="nl-NL"/>
        </w:rPr>
      </w:pPr>
      <w:r w:rsidRPr="00154A96">
        <w:rPr>
          <w:szCs w:val="18"/>
          <w:lang w:val="nl-NL"/>
        </w:rPr>
        <w:tab/>
      </w:r>
      <w:r w:rsidRPr="00154A96">
        <w:rPr>
          <w:rStyle w:val="Voetnootmarkering"/>
          <w:lang w:val="nl-NL"/>
        </w:rPr>
        <w:footnoteRef/>
      </w:r>
      <w:r w:rsidRPr="00154A96">
        <w:rPr>
          <w:szCs w:val="18"/>
          <w:lang w:val="nl-NL"/>
        </w:rPr>
        <w:tab/>
        <w:t xml:space="preserve">Zie het Internationaal Verdrag </w:t>
      </w:r>
      <w:r w:rsidRPr="00154A96">
        <w:rPr>
          <w:lang w:val="nl-NL"/>
        </w:rPr>
        <w:t>inzake economische, sociale en culturele rechten</w:t>
      </w:r>
      <w:r w:rsidRPr="00154A96">
        <w:rPr>
          <w:szCs w:val="18"/>
          <w:lang w:val="nl-NL"/>
        </w:rPr>
        <w:t>, art. 6, en het IAO-</w:t>
      </w:r>
      <w:r w:rsidR="004D5707" w:rsidRPr="004D5707">
        <w:rPr>
          <w:szCs w:val="18"/>
          <w:lang w:val="nl-NL"/>
        </w:rPr>
        <w:t>V</w:t>
      </w:r>
      <w:r w:rsidRPr="004D5707">
        <w:rPr>
          <w:szCs w:val="18"/>
          <w:lang w:val="nl-NL"/>
        </w:rPr>
        <w:t xml:space="preserve">erdrag </w:t>
      </w:r>
      <w:r w:rsidR="00154A96" w:rsidRPr="004D5707">
        <w:rPr>
          <w:szCs w:val="18"/>
          <w:lang w:val="nl-NL"/>
        </w:rPr>
        <w:t>betreffende de beroepsrevalidatie en werkgelegenheid</w:t>
      </w:r>
      <w:r w:rsidRPr="004D5707">
        <w:rPr>
          <w:szCs w:val="18"/>
          <w:lang w:val="nl-NL"/>
        </w:rPr>
        <w:t xml:space="preserve"> </w:t>
      </w:r>
      <w:r w:rsidR="00BC0989" w:rsidRPr="004D5707">
        <w:rPr>
          <w:szCs w:val="18"/>
          <w:lang w:val="nl-NL"/>
        </w:rPr>
        <w:t>voor personen met een handicap</w:t>
      </w:r>
      <w:r w:rsidRPr="004D5707">
        <w:rPr>
          <w:szCs w:val="18"/>
          <w:lang w:val="nl-NL"/>
        </w:rPr>
        <w:t>, 1983 (nr. 159).</w:t>
      </w:r>
    </w:p>
  </w:footnote>
  <w:footnote w:id="31">
    <w:p w14:paraId="6D8AC28C" w14:textId="77777777" w:rsidR="00F6202B" w:rsidRPr="00154A96" w:rsidRDefault="002755DB">
      <w:pPr>
        <w:pStyle w:val="Voetnoottekst"/>
        <w:rPr>
          <w:szCs w:val="18"/>
          <w:lang w:val="nl-NL"/>
        </w:rPr>
      </w:pPr>
      <w:r w:rsidRPr="00154A96">
        <w:rPr>
          <w:szCs w:val="18"/>
          <w:lang w:val="nl-NL"/>
        </w:rPr>
        <w:tab/>
      </w:r>
      <w:r w:rsidRPr="00154A96">
        <w:rPr>
          <w:rStyle w:val="Voetnootmarkering"/>
          <w:lang w:val="nl-NL"/>
        </w:rPr>
        <w:footnoteRef/>
      </w:r>
      <w:r w:rsidRPr="00154A96">
        <w:rPr>
          <w:szCs w:val="18"/>
          <w:lang w:val="nl-NL"/>
        </w:rPr>
        <w:tab/>
        <w:t>Zie CRPD/C/2/3, bijlage.</w:t>
      </w:r>
    </w:p>
  </w:footnote>
  <w:footnote w:id="32">
    <w:p w14:paraId="7F565AD5" w14:textId="4CF867E4" w:rsidR="00F6202B" w:rsidRPr="00154A96" w:rsidRDefault="002755DB">
      <w:pPr>
        <w:pStyle w:val="Voetnoottekst"/>
        <w:rPr>
          <w:szCs w:val="18"/>
          <w:lang w:val="nl-NL"/>
        </w:rPr>
      </w:pPr>
      <w:r w:rsidRPr="00154A96">
        <w:rPr>
          <w:szCs w:val="18"/>
          <w:lang w:val="nl-NL"/>
        </w:rPr>
        <w:tab/>
      </w:r>
      <w:r w:rsidRPr="00154A96">
        <w:rPr>
          <w:rStyle w:val="Voetnootmarkering"/>
          <w:lang w:val="nl-NL"/>
        </w:rPr>
        <w:footnoteRef/>
      </w:r>
      <w:r w:rsidRPr="00154A96">
        <w:rPr>
          <w:szCs w:val="18"/>
          <w:lang w:val="nl-NL"/>
        </w:rPr>
        <w:tab/>
        <w:t xml:space="preserve">Voor een voorbeeld van waar </w:t>
      </w:r>
      <w:r w:rsidR="00152963" w:rsidRPr="00154A96">
        <w:rPr>
          <w:szCs w:val="18"/>
          <w:lang w:val="nl-NL"/>
        </w:rPr>
        <w:t xml:space="preserve">deze </w:t>
      </w:r>
      <w:r w:rsidRPr="00154A96">
        <w:rPr>
          <w:szCs w:val="18"/>
          <w:lang w:val="nl-NL"/>
        </w:rPr>
        <w:t xml:space="preserve">steun niet op </w:t>
      </w:r>
      <w:r w:rsidR="00BC0989" w:rsidRPr="00154A96">
        <w:rPr>
          <w:szCs w:val="18"/>
          <w:lang w:val="nl-NL"/>
        </w:rPr>
        <w:t>voldoende</w:t>
      </w:r>
      <w:r w:rsidRPr="00154A96">
        <w:rPr>
          <w:szCs w:val="18"/>
          <w:lang w:val="nl-NL"/>
        </w:rPr>
        <w:t xml:space="preserve"> wijze werd verleend, zie </w:t>
      </w:r>
      <w:proofErr w:type="spellStart"/>
      <w:r w:rsidRPr="00154A96">
        <w:rPr>
          <w:i/>
          <w:iCs/>
          <w:szCs w:val="18"/>
          <w:lang w:val="nl-NL"/>
        </w:rPr>
        <w:t>Gröninger</w:t>
      </w:r>
      <w:proofErr w:type="spellEnd"/>
      <w:r w:rsidRPr="00154A96">
        <w:rPr>
          <w:i/>
          <w:iCs/>
          <w:szCs w:val="18"/>
          <w:lang w:val="nl-NL"/>
        </w:rPr>
        <w:t xml:space="preserve"> et al. tegen Duitsland </w:t>
      </w:r>
      <w:r w:rsidRPr="00154A96">
        <w:rPr>
          <w:szCs w:val="18"/>
          <w:lang w:val="nl-NL"/>
        </w:rPr>
        <w:t>(CRPD/C/D/2/2010).</w:t>
      </w:r>
    </w:p>
  </w:footnote>
  <w:footnote w:id="33">
    <w:p w14:paraId="2EE7A5D3" w14:textId="180AAE49" w:rsidR="00F6202B" w:rsidRPr="00154A96" w:rsidRDefault="002755DB">
      <w:pPr>
        <w:pStyle w:val="Voetnoottekst"/>
        <w:rPr>
          <w:szCs w:val="18"/>
          <w:lang w:val="nl-NL"/>
        </w:rPr>
      </w:pPr>
      <w:r w:rsidRPr="00154A96">
        <w:rPr>
          <w:szCs w:val="18"/>
          <w:lang w:val="nl-NL"/>
        </w:rPr>
        <w:tab/>
      </w:r>
      <w:r w:rsidRPr="00154A96">
        <w:rPr>
          <w:rStyle w:val="Voetnootmarkering"/>
          <w:lang w:val="nl-NL"/>
        </w:rPr>
        <w:footnoteRef/>
      </w:r>
      <w:r w:rsidRPr="00154A96">
        <w:rPr>
          <w:szCs w:val="18"/>
          <w:lang w:val="nl-NL"/>
        </w:rPr>
        <w:tab/>
        <w:t xml:space="preserve">Zie ILO, </w:t>
      </w:r>
      <w:r w:rsidR="00BC0989" w:rsidRPr="00154A96">
        <w:rPr>
          <w:szCs w:val="18"/>
          <w:lang w:val="nl-NL"/>
        </w:rPr>
        <w:t xml:space="preserve">Aanbeveling van 2015 over de overgang van de informele naar de formele economie </w:t>
      </w:r>
      <w:r w:rsidRPr="00154A96">
        <w:rPr>
          <w:szCs w:val="18"/>
          <w:lang w:val="nl-NL"/>
        </w:rPr>
        <w:t>(nr. 204).</w:t>
      </w:r>
    </w:p>
  </w:footnote>
  <w:footnote w:id="34">
    <w:p w14:paraId="07D160A7" w14:textId="37D6DAD6" w:rsidR="00F6202B" w:rsidRPr="00301F00" w:rsidRDefault="002755DB">
      <w:pPr>
        <w:pStyle w:val="Voetnoottekst"/>
        <w:rPr>
          <w:szCs w:val="18"/>
          <w:lang w:val="fr-BE"/>
        </w:rPr>
      </w:pPr>
      <w:r w:rsidRPr="00154A96">
        <w:rPr>
          <w:szCs w:val="18"/>
          <w:lang w:val="nl-NL"/>
        </w:rPr>
        <w:tab/>
      </w:r>
      <w:r w:rsidRPr="00154A96">
        <w:rPr>
          <w:rStyle w:val="Voetnootmarkering"/>
          <w:lang w:val="nl-NL"/>
        </w:rPr>
        <w:footnoteRef/>
      </w:r>
      <w:bookmarkStart w:id="23" w:name="_Hlk83832842"/>
      <w:r w:rsidRPr="00301F00">
        <w:rPr>
          <w:szCs w:val="18"/>
          <w:lang w:val="fr-BE"/>
        </w:rPr>
        <w:tab/>
        <w:t xml:space="preserve">Ibid., </w:t>
      </w:r>
      <w:r w:rsidR="00974625" w:rsidRPr="00301F00">
        <w:rPr>
          <w:szCs w:val="18"/>
          <w:lang w:val="fr-BE"/>
        </w:rPr>
        <w:t>par.</w:t>
      </w:r>
      <w:r w:rsidRPr="00301F00">
        <w:rPr>
          <w:szCs w:val="18"/>
          <w:lang w:val="fr-BE"/>
        </w:rPr>
        <w:t xml:space="preserve"> 11 (g).</w:t>
      </w:r>
    </w:p>
    <w:bookmarkEnd w:id="23"/>
  </w:footnote>
  <w:footnote w:id="35">
    <w:p w14:paraId="0675A7B6" w14:textId="3E33DA41" w:rsidR="00F6202B" w:rsidRPr="00301F00" w:rsidRDefault="002755DB">
      <w:pPr>
        <w:pStyle w:val="Voetnoottekst"/>
        <w:rPr>
          <w:szCs w:val="18"/>
          <w:lang w:val="fr-BE"/>
        </w:rPr>
      </w:pPr>
      <w:r w:rsidRPr="00301F00">
        <w:rPr>
          <w:szCs w:val="18"/>
          <w:lang w:val="fr-BE"/>
        </w:rPr>
        <w:tab/>
      </w:r>
      <w:r w:rsidRPr="00154A96">
        <w:rPr>
          <w:rStyle w:val="Voetnootmarkering"/>
          <w:lang w:val="nl-NL"/>
        </w:rPr>
        <w:footnoteRef/>
      </w:r>
      <w:r w:rsidRPr="00301F00">
        <w:rPr>
          <w:szCs w:val="18"/>
          <w:lang w:val="fr-BE"/>
        </w:rPr>
        <w:tab/>
        <w:t xml:space="preserve">Ibid., </w:t>
      </w:r>
      <w:r w:rsidR="00974625" w:rsidRPr="00301F00">
        <w:rPr>
          <w:szCs w:val="18"/>
          <w:lang w:val="fr-BE"/>
        </w:rPr>
        <w:t>par.</w:t>
      </w:r>
      <w:r w:rsidRPr="00301F00">
        <w:rPr>
          <w:szCs w:val="18"/>
          <w:lang w:val="fr-BE"/>
        </w:rPr>
        <w:t xml:space="preserve"> 12.</w:t>
      </w:r>
    </w:p>
  </w:footnote>
  <w:footnote w:id="36">
    <w:p w14:paraId="6AAF97B4" w14:textId="52A5DEB1" w:rsidR="00F6202B" w:rsidRPr="00301F00" w:rsidRDefault="002755DB">
      <w:pPr>
        <w:pStyle w:val="Voetnoottekst"/>
        <w:rPr>
          <w:szCs w:val="18"/>
          <w:lang w:val="en-US"/>
        </w:rPr>
      </w:pPr>
      <w:r w:rsidRPr="00301F00">
        <w:rPr>
          <w:szCs w:val="18"/>
          <w:lang w:val="fr-BE"/>
        </w:rPr>
        <w:tab/>
      </w:r>
      <w:r w:rsidRPr="00154A96">
        <w:rPr>
          <w:rStyle w:val="Voetnootmarkering"/>
          <w:lang w:val="nl-NL"/>
        </w:rPr>
        <w:footnoteRef/>
      </w:r>
      <w:r w:rsidRPr="00301F00">
        <w:rPr>
          <w:szCs w:val="18"/>
          <w:lang w:val="en-US"/>
        </w:rPr>
        <w:tab/>
      </w:r>
      <w:r w:rsidR="00BC0989" w:rsidRPr="00301F00">
        <w:rPr>
          <w:szCs w:val="18"/>
          <w:lang w:val="en-US"/>
        </w:rPr>
        <w:t>Zie b</w:t>
      </w:r>
      <w:r w:rsidRPr="00301F00">
        <w:rPr>
          <w:szCs w:val="18"/>
          <w:lang w:val="en-US"/>
        </w:rPr>
        <w:t xml:space="preserve">ijvoorbeeld CRPD/CAN/CO/1, </w:t>
      </w:r>
      <w:r w:rsidR="00974625" w:rsidRPr="00301F00">
        <w:rPr>
          <w:szCs w:val="18"/>
          <w:lang w:val="en-US"/>
        </w:rPr>
        <w:t>par.</w:t>
      </w:r>
      <w:r w:rsidRPr="00301F00">
        <w:rPr>
          <w:szCs w:val="18"/>
          <w:lang w:val="en-US"/>
        </w:rPr>
        <w:t xml:space="preserve"> 48 (c); CRPD/C/GTM/CO/1, </w:t>
      </w:r>
      <w:r w:rsidR="00974625" w:rsidRPr="00301F00">
        <w:rPr>
          <w:szCs w:val="18"/>
          <w:lang w:val="en-US"/>
        </w:rPr>
        <w:t>par.</w:t>
      </w:r>
      <w:r w:rsidRPr="00301F00">
        <w:rPr>
          <w:szCs w:val="18"/>
          <w:lang w:val="en-US"/>
        </w:rPr>
        <w:t xml:space="preserve"> 63; CRPD/C/JOR/CO/1, </w:t>
      </w:r>
      <w:r w:rsidR="00974625" w:rsidRPr="00301F00">
        <w:rPr>
          <w:szCs w:val="18"/>
          <w:lang w:val="en-US"/>
        </w:rPr>
        <w:t>par.</w:t>
      </w:r>
      <w:r w:rsidRPr="00301F00">
        <w:rPr>
          <w:szCs w:val="18"/>
          <w:lang w:val="en-US"/>
        </w:rPr>
        <w:t xml:space="preserve"> 50 (c); en CRPD/C/URY/CO/1, </w:t>
      </w:r>
      <w:r w:rsidR="00974625" w:rsidRPr="00301F00">
        <w:rPr>
          <w:szCs w:val="18"/>
          <w:lang w:val="en-US"/>
        </w:rPr>
        <w:t>par.</w:t>
      </w:r>
      <w:r w:rsidRPr="00301F00">
        <w:rPr>
          <w:szCs w:val="18"/>
          <w:lang w:val="en-US"/>
        </w:rPr>
        <w:t xml:space="preserve"> 57-58.</w:t>
      </w:r>
    </w:p>
  </w:footnote>
  <w:footnote w:id="37">
    <w:p w14:paraId="6D5BC322" w14:textId="716449E2" w:rsidR="00F6202B" w:rsidRPr="00154A96" w:rsidRDefault="002755DB">
      <w:pPr>
        <w:pStyle w:val="Voetnoottekst"/>
        <w:rPr>
          <w:szCs w:val="18"/>
          <w:lang w:val="nl-NL"/>
        </w:rPr>
      </w:pPr>
      <w:r w:rsidRPr="00301F00">
        <w:rPr>
          <w:szCs w:val="18"/>
          <w:lang w:val="en-US"/>
        </w:rPr>
        <w:tab/>
      </w:r>
      <w:r w:rsidRPr="00154A96">
        <w:rPr>
          <w:rStyle w:val="Voetnootmarkering"/>
          <w:lang w:val="nl-NL"/>
        </w:rPr>
        <w:footnoteRef/>
      </w:r>
      <w:r w:rsidRPr="00154A96">
        <w:rPr>
          <w:szCs w:val="18"/>
          <w:lang w:val="nl-NL"/>
        </w:rPr>
        <w:tab/>
        <w:t xml:space="preserve">Comité voor de rechten van personen met een handicap, </w:t>
      </w:r>
      <w:r w:rsidR="00F95F1D" w:rsidRPr="00154A96">
        <w:rPr>
          <w:szCs w:val="18"/>
          <w:lang w:val="nl-NL"/>
        </w:rPr>
        <w:t>algemene commentaar</w:t>
      </w:r>
      <w:r w:rsidRPr="00154A96">
        <w:rPr>
          <w:szCs w:val="18"/>
          <w:lang w:val="nl-NL"/>
        </w:rPr>
        <w:t xml:space="preserve"> nr. 6 (2018), par. 29.</w:t>
      </w:r>
    </w:p>
  </w:footnote>
  <w:footnote w:id="38">
    <w:p w14:paraId="7459DB05" w14:textId="2A472C6C" w:rsidR="00F6202B" w:rsidRPr="00154A96" w:rsidRDefault="002755DB">
      <w:pPr>
        <w:pStyle w:val="Voetnoottekst"/>
        <w:rPr>
          <w:szCs w:val="18"/>
          <w:lang w:val="nl-NL"/>
        </w:rPr>
      </w:pPr>
      <w:r w:rsidRPr="00154A96">
        <w:rPr>
          <w:szCs w:val="18"/>
          <w:lang w:val="nl-NL"/>
        </w:rPr>
        <w:tab/>
      </w:r>
      <w:r w:rsidRPr="00154A96">
        <w:rPr>
          <w:rStyle w:val="Voetnootmarkering"/>
          <w:lang w:val="nl-NL"/>
        </w:rPr>
        <w:footnoteRef/>
      </w:r>
      <w:r w:rsidRPr="00154A96">
        <w:rPr>
          <w:szCs w:val="18"/>
          <w:lang w:val="nl-NL"/>
        </w:rPr>
        <w:tab/>
        <w:t xml:space="preserve">Zie </w:t>
      </w:r>
      <w:r w:rsidR="00CA751A" w:rsidRPr="00154A96">
        <w:rPr>
          <w:i/>
          <w:iCs/>
          <w:szCs w:val="18"/>
          <w:lang w:val="nl-NL"/>
        </w:rPr>
        <w:t xml:space="preserve">J.M. </w:t>
      </w:r>
      <w:r w:rsidR="009465C2" w:rsidRPr="00154A96">
        <w:rPr>
          <w:i/>
          <w:iCs/>
          <w:szCs w:val="18"/>
          <w:lang w:val="nl-NL"/>
        </w:rPr>
        <w:t>c</w:t>
      </w:r>
      <w:r w:rsidR="00CA751A" w:rsidRPr="00154A96">
        <w:rPr>
          <w:i/>
          <w:iCs/>
          <w:szCs w:val="18"/>
          <w:lang w:val="nl-NL"/>
        </w:rPr>
        <w:t xml:space="preserve">. Spanje </w:t>
      </w:r>
      <w:r w:rsidR="00CA751A" w:rsidRPr="00154A96">
        <w:rPr>
          <w:szCs w:val="18"/>
          <w:lang w:val="nl-NL"/>
        </w:rPr>
        <w:t>(</w:t>
      </w:r>
      <w:r w:rsidRPr="00154A96">
        <w:rPr>
          <w:iCs/>
          <w:szCs w:val="18"/>
          <w:lang w:val="nl-NL"/>
        </w:rPr>
        <w:t>CRPD/C/23/D/37/2016</w:t>
      </w:r>
      <w:r w:rsidR="00CA751A" w:rsidRPr="00154A96">
        <w:rPr>
          <w:iCs/>
          <w:szCs w:val="18"/>
          <w:lang w:val="nl-NL"/>
        </w:rPr>
        <w:t xml:space="preserve">) en </w:t>
      </w:r>
      <w:r w:rsidR="00CA751A" w:rsidRPr="00154A96">
        <w:rPr>
          <w:i/>
          <w:szCs w:val="18"/>
          <w:lang w:val="nl-NL"/>
        </w:rPr>
        <w:t xml:space="preserve">V.F.C. </w:t>
      </w:r>
      <w:r w:rsidR="009465C2" w:rsidRPr="00154A96">
        <w:rPr>
          <w:i/>
          <w:szCs w:val="18"/>
          <w:lang w:val="nl-NL"/>
        </w:rPr>
        <w:t>c</w:t>
      </w:r>
      <w:r w:rsidR="00CA751A" w:rsidRPr="00154A96">
        <w:rPr>
          <w:i/>
          <w:szCs w:val="18"/>
          <w:lang w:val="nl-NL"/>
        </w:rPr>
        <w:t xml:space="preserve">. Spanje </w:t>
      </w:r>
      <w:r w:rsidR="00CA751A" w:rsidRPr="00154A96">
        <w:rPr>
          <w:iCs/>
          <w:szCs w:val="18"/>
          <w:lang w:val="nl-NL"/>
        </w:rPr>
        <w:t xml:space="preserve">(CRPD/C/21/D/34/2015), </w:t>
      </w:r>
      <w:r w:rsidRPr="00154A96">
        <w:rPr>
          <w:iCs/>
          <w:szCs w:val="18"/>
          <w:lang w:val="nl-NL"/>
        </w:rPr>
        <w:t xml:space="preserve">waarin </w:t>
      </w:r>
      <w:r w:rsidR="00CA751A" w:rsidRPr="00154A96">
        <w:rPr>
          <w:iCs/>
          <w:szCs w:val="18"/>
          <w:lang w:val="nl-NL"/>
        </w:rPr>
        <w:t xml:space="preserve">het Comité oordeelde dat </w:t>
      </w:r>
      <w:r w:rsidRPr="00154A96">
        <w:rPr>
          <w:iCs/>
          <w:szCs w:val="18"/>
          <w:lang w:val="nl-NL"/>
        </w:rPr>
        <w:t xml:space="preserve">de </w:t>
      </w:r>
      <w:r w:rsidR="009465C2" w:rsidRPr="00154A96">
        <w:rPr>
          <w:iCs/>
          <w:szCs w:val="18"/>
          <w:lang w:val="nl-NL"/>
        </w:rPr>
        <w:t>Staat die Partij is</w:t>
      </w:r>
      <w:r w:rsidRPr="00154A96">
        <w:rPr>
          <w:iCs/>
          <w:szCs w:val="18"/>
          <w:lang w:val="nl-NL"/>
        </w:rPr>
        <w:t xml:space="preserve"> haar verplichtingen uit hoofde van het Verdrag niet </w:t>
      </w:r>
      <w:r w:rsidR="00CA751A" w:rsidRPr="00154A96">
        <w:rPr>
          <w:iCs/>
          <w:szCs w:val="18"/>
          <w:lang w:val="nl-NL"/>
        </w:rPr>
        <w:t xml:space="preserve">was nagekomen door </w:t>
      </w:r>
      <w:r w:rsidRPr="00154A96">
        <w:rPr>
          <w:iCs/>
          <w:szCs w:val="18"/>
          <w:lang w:val="nl-NL"/>
        </w:rPr>
        <w:t xml:space="preserve">de </w:t>
      </w:r>
      <w:r w:rsidR="00CA751A" w:rsidRPr="00154A96">
        <w:rPr>
          <w:iCs/>
          <w:szCs w:val="18"/>
          <w:lang w:val="nl-NL"/>
        </w:rPr>
        <w:t xml:space="preserve">auteurs niet te </w:t>
      </w:r>
      <w:r w:rsidRPr="00154A96">
        <w:rPr>
          <w:iCs/>
          <w:szCs w:val="18"/>
          <w:lang w:val="nl-NL"/>
        </w:rPr>
        <w:t>verzekeren van de voortzetting van hun werk door middel van de toewijzing van gewijzigde taken.</w:t>
      </w:r>
    </w:p>
  </w:footnote>
  <w:footnote w:id="39">
    <w:p w14:paraId="36344FC5" w14:textId="136A8FDD" w:rsidR="00F6202B" w:rsidRPr="00154A96" w:rsidRDefault="002755DB">
      <w:pPr>
        <w:pStyle w:val="Voetnoottekst"/>
        <w:rPr>
          <w:szCs w:val="18"/>
          <w:lang w:val="nl-NL"/>
        </w:rPr>
      </w:pPr>
      <w:r w:rsidRPr="00154A96">
        <w:rPr>
          <w:szCs w:val="18"/>
          <w:lang w:val="nl-NL"/>
        </w:rPr>
        <w:tab/>
      </w:r>
      <w:r w:rsidRPr="00154A96">
        <w:rPr>
          <w:rStyle w:val="Voetnootmarkering"/>
          <w:lang w:val="nl-NL"/>
        </w:rPr>
        <w:footnoteRef/>
      </w:r>
      <w:r w:rsidRPr="00154A96">
        <w:rPr>
          <w:szCs w:val="18"/>
          <w:lang w:val="nl-NL"/>
        </w:rPr>
        <w:tab/>
      </w:r>
      <w:r w:rsidRPr="00154A96">
        <w:rPr>
          <w:lang w:val="nl-NL"/>
        </w:rPr>
        <w:t xml:space="preserve">Comité voor economische, sociale en culturele rechten, </w:t>
      </w:r>
      <w:r w:rsidR="00F95F1D" w:rsidRPr="00154A96">
        <w:rPr>
          <w:szCs w:val="18"/>
          <w:lang w:val="nl-NL"/>
        </w:rPr>
        <w:t>algemene commentaar</w:t>
      </w:r>
      <w:r w:rsidRPr="00154A96">
        <w:rPr>
          <w:szCs w:val="18"/>
          <w:lang w:val="nl-NL"/>
        </w:rPr>
        <w:t xml:space="preserve"> nr. 23 </w:t>
      </w:r>
      <w:r w:rsidR="003102A4" w:rsidRPr="00154A96">
        <w:rPr>
          <w:szCs w:val="18"/>
          <w:lang w:val="nl-NL"/>
        </w:rPr>
        <w:t>(2016)</w:t>
      </w:r>
      <w:r w:rsidRPr="00154A96">
        <w:rPr>
          <w:szCs w:val="18"/>
          <w:lang w:val="nl-NL"/>
        </w:rPr>
        <w:t xml:space="preserve">, </w:t>
      </w:r>
      <w:r w:rsidR="00974625" w:rsidRPr="00154A96">
        <w:rPr>
          <w:szCs w:val="18"/>
          <w:lang w:val="nl-NL"/>
        </w:rPr>
        <w:t>par.</w:t>
      </w:r>
      <w:r w:rsidRPr="00154A96">
        <w:rPr>
          <w:szCs w:val="18"/>
          <w:lang w:val="nl-NL"/>
        </w:rPr>
        <w:t xml:space="preserve"> 29.</w:t>
      </w:r>
    </w:p>
  </w:footnote>
  <w:footnote w:id="40">
    <w:p w14:paraId="0FE50346" w14:textId="67CDD395" w:rsidR="00F6202B" w:rsidRPr="00154A96" w:rsidRDefault="002755DB">
      <w:pPr>
        <w:pStyle w:val="Voetnoottekst"/>
        <w:rPr>
          <w:szCs w:val="18"/>
          <w:lang w:val="nl-NL"/>
        </w:rPr>
      </w:pPr>
      <w:r w:rsidRPr="00154A96">
        <w:rPr>
          <w:szCs w:val="18"/>
          <w:lang w:val="nl-NL"/>
        </w:rPr>
        <w:tab/>
      </w:r>
      <w:r w:rsidRPr="00154A96">
        <w:rPr>
          <w:rStyle w:val="Voetnootmarkering"/>
          <w:lang w:val="nl-NL"/>
        </w:rPr>
        <w:footnoteRef/>
      </w:r>
      <w:r w:rsidRPr="00154A96">
        <w:rPr>
          <w:szCs w:val="18"/>
          <w:lang w:val="nl-NL"/>
        </w:rPr>
        <w:tab/>
        <w:t>CRPD/C/BOL/CO/1</w:t>
      </w:r>
      <w:r w:rsidR="00846465" w:rsidRPr="00154A96">
        <w:rPr>
          <w:szCs w:val="18"/>
          <w:lang w:val="nl-NL"/>
        </w:rPr>
        <w:t>, par. 41-42</w:t>
      </w:r>
    </w:p>
  </w:footnote>
  <w:footnote w:id="41">
    <w:p w14:paraId="5FBB4B93" w14:textId="61C7AD62" w:rsidR="00F6202B" w:rsidRPr="00154A96" w:rsidRDefault="002755DB">
      <w:pPr>
        <w:pStyle w:val="Voetnoottekst"/>
        <w:rPr>
          <w:szCs w:val="18"/>
          <w:lang w:val="nl-NL"/>
        </w:rPr>
      </w:pPr>
      <w:r w:rsidRPr="00154A96">
        <w:rPr>
          <w:szCs w:val="18"/>
          <w:lang w:val="nl-NL"/>
        </w:rPr>
        <w:tab/>
      </w:r>
      <w:r w:rsidRPr="00154A96">
        <w:rPr>
          <w:rStyle w:val="Voetnootmarkering"/>
          <w:lang w:val="nl-NL"/>
        </w:rPr>
        <w:footnoteRef/>
      </w:r>
      <w:r w:rsidRPr="00154A96">
        <w:rPr>
          <w:szCs w:val="18"/>
          <w:lang w:val="nl-NL"/>
        </w:rPr>
        <w:tab/>
      </w:r>
      <w:r w:rsidRPr="00154A96">
        <w:rPr>
          <w:lang w:val="nl-NL"/>
        </w:rPr>
        <w:t xml:space="preserve">Comité voor economische, sociale en culturele rechten, </w:t>
      </w:r>
      <w:r w:rsidR="00F95F1D" w:rsidRPr="00154A96">
        <w:rPr>
          <w:szCs w:val="18"/>
          <w:lang w:val="nl-NL"/>
        </w:rPr>
        <w:t>algemene commentaar</w:t>
      </w:r>
      <w:r w:rsidRPr="00154A96">
        <w:rPr>
          <w:szCs w:val="18"/>
          <w:lang w:val="nl-NL"/>
        </w:rPr>
        <w:t xml:space="preserve"> nr. 3 (1990),  </w:t>
      </w:r>
      <w:r w:rsidR="00974625" w:rsidRPr="00154A96">
        <w:rPr>
          <w:szCs w:val="18"/>
          <w:lang w:val="nl-NL"/>
        </w:rPr>
        <w:t>par.</w:t>
      </w:r>
      <w:r w:rsidR="009465C2" w:rsidRPr="00154A96">
        <w:rPr>
          <w:szCs w:val="18"/>
          <w:lang w:val="nl-NL"/>
        </w:rPr>
        <w:t xml:space="preserve"> </w:t>
      </w:r>
      <w:r w:rsidRPr="00154A96">
        <w:rPr>
          <w:szCs w:val="18"/>
          <w:lang w:val="nl-NL"/>
        </w:rPr>
        <w:t>2.</w:t>
      </w:r>
    </w:p>
  </w:footnote>
  <w:footnote w:id="42">
    <w:p w14:paraId="2F4F3A9E" w14:textId="4FD73240" w:rsidR="00F6202B" w:rsidRPr="00154A96" w:rsidRDefault="002755DB">
      <w:pPr>
        <w:pStyle w:val="Voetnoottekst"/>
        <w:rPr>
          <w:szCs w:val="18"/>
          <w:lang w:val="nl-NL"/>
        </w:rPr>
      </w:pPr>
      <w:r w:rsidRPr="00154A96">
        <w:rPr>
          <w:szCs w:val="18"/>
          <w:lang w:val="nl-NL"/>
        </w:rPr>
        <w:tab/>
      </w:r>
      <w:r w:rsidRPr="00154A96">
        <w:rPr>
          <w:rStyle w:val="Voetnootmarkering"/>
          <w:lang w:val="nl-NL"/>
        </w:rPr>
        <w:footnoteRef/>
      </w:r>
      <w:r w:rsidRPr="00154A96">
        <w:rPr>
          <w:szCs w:val="18"/>
          <w:lang w:val="nl-NL"/>
        </w:rPr>
        <w:tab/>
      </w:r>
      <w:r w:rsidR="00322086" w:rsidRPr="00154A96">
        <w:rPr>
          <w:szCs w:val="18"/>
          <w:lang w:val="nl-NL"/>
        </w:rPr>
        <w:t xml:space="preserve">In zijn </w:t>
      </w:r>
      <w:r w:rsidRPr="00154A96">
        <w:rPr>
          <w:szCs w:val="18"/>
          <w:lang w:val="nl-NL"/>
        </w:rPr>
        <w:t xml:space="preserve">algemene </w:t>
      </w:r>
      <w:r w:rsidR="00BF6216" w:rsidRPr="00154A96">
        <w:rPr>
          <w:szCs w:val="18"/>
          <w:lang w:val="nl-NL"/>
        </w:rPr>
        <w:t>commentaar</w:t>
      </w:r>
      <w:r w:rsidRPr="00154A96">
        <w:rPr>
          <w:szCs w:val="18"/>
          <w:lang w:val="nl-NL"/>
        </w:rPr>
        <w:t xml:space="preserve"> nr. 12 (</w:t>
      </w:r>
      <w:r w:rsidR="008C235E" w:rsidRPr="00154A96">
        <w:rPr>
          <w:szCs w:val="18"/>
          <w:lang w:val="nl-NL"/>
        </w:rPr>
        <w:t>1999</w:t>
      </w:r>
      <w:r w:rsidRPr="00154A96">
        <w:rPr>
          <w:szCs w:val="18"/>
          <w:lang w:val="nl-NL"/>
        </w:rPr>
        <w:t xml:space="preserve">) </w:t>
      </w:r>
      <w:r w:rsidR="00B57A9F" w:rsidRPr="00154A96">
        <w:rPr>
          <w:szCs w:val="18"/>
          <w:lang w:val="nl-NL"/>
        </w:rPr>
        <w:t>(</w:t>
      </w:r>
      <w:r w:rsidR="00974625" w:rsidRPr="00154A96">
        <w:rPr>
          <w:szCs w:val="18"/>
          <w:lang w:val="nl-NL"/>
        </w:rPr>
        <w:t>par.</w:t>
      </w:r>
      <w:r w:rsidR="00B57A9F" w:rsidRPr="00154A96">
        <w:rPr>
          <w:szCs w:val="18"/>
          <w:lang w:val="nl-NL"/>
        </w:rPr>
        <w:t xml:space="preserve"> 15) </w:t>
      </w:r>
      <w:r w:rsidRPr="00154A96">
        <w:rPr>
          <w:szCs w:val="18"/>
          <w:lang w:val="nl-NL"/>
        </w:rPr>
        <w:t>en nr. 13 (</w:t>
      </w:r>
      <w:r w:rsidR="008C235E" w:rsidRPr="00154A96">
        <w:rPr>
          <w:szCs w:val="18"/>
          <w:lang w:val="nl-NL"/>
        </w:rPr>
        <w:t>1999</w:t>
      </w:r>
      <w:r w:rsidRPr="00154A96">
        <w:rPr>
          <w:szCs w:val="18"/>
          <w:lang w:val="nl-NL"/>
        </w:rPr>
        <w:t xml:space="preserve">) </w:t>
      </w:r>
      <w:r w:rsidR="00B57A9F" w:rsidRPr="00154A96">
        <w:rPr>
          <w:szCs w:val="18"/>
          <w:lang w:val="nl-NL"/>
        </w:rPr>
        <w:t>(</w:t>
      </w:r>
      <w:r w:rsidR="00974625" w:rsidRPr="00154A96">
        <w:rPr>
          <w:szCs w:val="18"/>
          <w:lang w:val="nl-NL"/>
        </w:rPr>
        <w:t>par.</w:t>
      </w:r>
      <w:r w:rsidR="00B57A9F" w:rsidRPr="00154A96">
        <w:rPr>
          <w:szCs w:val="18"/>
          <w:lang w:val="nl-NL"/>
        </w:rPr>
        <w:t xml:space="preserve"> 46) </w:t>
      </w:r>
      <w:r w:rsidRPr="00154A96">
        <w:rPr>
          <w:szCs w:val="18"/>
          <w:lang w:val="nl-NL"/>
        </w:rPr>
        <w:t xml:space="preserve">heeft </w:t>
      </w:r>
      <w:r w:rsidR="00322086" w:rsidRPr="00154A96">
        <w:rPr>
          <w:szCs w:val="18"/>
          <w:lang w:val="nl-NL"/>
        </w:rPr>
        <w:t xml:space="preserve">het </w:t>
      </w:r>
      <w:r w:rsidR="00322086" w:rsidRPr="00154A96">
        <w:rPr>
          <w:lang w:val="nl-NL"/>
        </w:rPr>
        <w:t xml:space="preserve">Comité voor economische, sociale en culturele rechten </w:t>
      </w:r>
      <w:r w:rsidR="00322086" w:rsidRPr="00154A96">
        <w:rPr>
          <w:szCs w:val="18"/>
          <w:lang w:val="nl-NL"/>
        </w:rPr>
        <w:t xml:space="preserve">opgemerkt dat </w:t>
      </w:r>
      <w:r w:rsidRPr="00154A96">
        <w:rPr>
          <w:szCs w:val="18"/>
          <w:lang w:val="nl-NL"/>
        </w:rPr>
        <w:t xml:space="preserve">de verplichting tot nakoming </w:t>
      </w:r>
      <w:r w:rsidR="00322086" w:rsidRPr="00154A96">
        <w:rPr>
          <w:szCs w:val="18"/>
          <w:lang w:val="nl-NL"/>
        </w:rPr>
        <w:t xml:space="preserve">zowel </w:t>
      </w:r>
      <w:r w:rsidRPr="00154A96">
        <w:rPr>
          <w:szCs w:val="18"/>
          <w:lang w:val="nl-NL"/>
        </w:rPr>
        <w:t xml:space="preserve">een verplichting tot </w:t>
      </w:r>
      <w:r w:rsidRPr="00154A96">
        <w:rPr>
          <w:iCs/>
          <w:szCs w:val="18"/>
          <w:lang w:val="nl-NL"/>
        </w:rPr>
        <w:t xml:space="preserve">vergemakkelijking </w:t>
      </w:r>
      <w:r w:rsidRPr="00154A96">
        <w:rPr>
          <w:szCs w:val="18"/>
          <w:lang w:val="nl-NL"/>
        </w:rPr>
        <w:t xml:space="preserve">als een verplichting tot </w:t>
      </w:r>
      <w:r w:rsidRPr="00154A96">
        <w:rPr>
          <w:iCs/>
          <w:szCs w:val="18"/>
          <w:lang w:val="nl-NL"/>
        </w:rPr>
        <w:t xml:space="preserve">verstrekking inhoudt. </w:t>
      </w:r>
      <w:r w:rsidR="00322086" w:rsidRPr="00154A96">
        <w:rPr>
          <w:iCs/>
          <w:szCs w:val="18"/>
          <w:lang w:val="nl-NL"/>
        </w:rPr>
        <w:t xml:space="preserve">In zijn </w:t>
      </w:r>
      <w:r w:rsidRPr="00154A96">
        <w:rPr>
          <w:iCs/>
          <w:szCs w:val="18"/>
          <w:lang w:val="nl-NL"/>
        </w:rPr>
        <w:t xml:space="preserve">algemene </w:t>
      </w:r>
      <w:r w:rsidR="00BF6216" w:rsidRPr="00154A96">
        <w:rPr>
          <w:iCs/>
          <w:szCs w:val="18"/>
          <w:lang w:val="nl-NL"/>
        </w:rPr>
        <w:t>commentaar</w:t>
      </w:r>
      <w:r w:rsidRPr="00154A96">
        <w:rPr>
          <w:iCs/>
          <w:szCs w:val="18"/>
          <w:lang w:val="nl-NL"/>
        </w:rPr>
        <w:t xml:space="preserve"> nr. 14 (</w:t>
      </w:r>
      <w:r w:rsidR="00E854E3" w:rsidRPr="00154A96">
        <w:rPr>
          <w:iCs/>
          <w:szCs w:val="18"/>
          <w:lang w:val="nl-NL"/>
        </w:rPr>
        <w:t>2000</w:t>
      </w:r>
      <w:r w:rsidRPr="00154A96">
        <w:rPr>
          <w:iCs/>
          <w:szCs w:val="18"/>
          <w:lang w:val="nl-NL"/>
        </w:rPr>
        <w:t xml:space="preserve">) </w:t>
      </w:r>
      <w:r w:rsidR="00B57A9F" w:rsidRPr="00154A96">
        <w:rPr>
          <w:iCs/>
          <w:szCs w:val="18"/>
          <w:lang w:val="nl-NL"/>
        </w:rPr>
        <w:t>(</w:t>
      </w:r>
      <w:r w:rsidR="00974625" w:rsidRPr="00154A96">
        <w:rPr>
          <w:iCs/>
          <w:szCs w:val="18"/>
          <w:lang w:val="nl-NL"/>
        </w:rPr>
        <w:t>par.</w:t>
      </w:r>
      <w:r w:rsidR="00B57A9F" w:rsidRPr="00154A96">
        <w:rPr>
          <w:iCs/>
          <w:szCs w:val="18"/>
          <w:lang w:val="nl-NL"/>
        </w:rPr>
        <w:t xml:space="preserve"> 33) </w:t>
      </w:r>
      <w:r w:rsidR="00E854E3" w:rsidRPr="00154A96">
        <w:rPr>
          <w:iCs/>
          <w:szCs w:val="18"/>
          <w:lang w:val="nl-NL"/>
        </w:rPr>
        <w:t xml:space="preserve">heeft </w:t>
      </w:r>
      <w:r w:rsidR="00322086" w:rsidRPr="00154A96">
        <w:rPr>
          <w:iCs/>
          <w:szCs w:val="18"/>
          <w:lang w:val="nl-NL"/>
        </w:rPr>
        <w:t xml:space="preserve">het vervolgens </w:t>
      </w:r>
      <w:r w:rsidRPr="00154A96">
        <w:rPr>
          <w:iCs/>
          <w:szCs w:val="18"/>
          <w:lang w:val="nl-NL"/>
        </w:rPr>
        <w:t xml:space="preserve">nog een </w:t>
      </w:r>
      <w:r w:rsidR="00322086" w:rsidRPr="00154A96">
        <w:rPr>
          <w:iCs/>
          <w:szCs w:val="18"/>
          <w:lang w:val="nl-NL"/>
        </w:rPr>
        <w:t xml:space="preserve">derde verplichting </w:t>
      </w:r>
      <w:r w:rsidR="00974625" w:rsidRPr="00154A96">
        <w:rPr>
          <w:iCs/>
          <w:szCs w:val="18"/>
          <w:lang w:val="nl-NL"/>
        </w:rPr>
        <w:t xml:space="preserve">– </w:t>
      </w:r>
      <w:r w:rsidR="00322086" w:rsidRPr="00154A96">
        <w:rPr>
          <w:iCs/>
          <w:szCs w:val="18"/>
          <w:lang w:val="nl-NL"/>
        </w:rPr>
        <w:t xml:space="preserve">de </w:t>
      </w:r>
      <w:r w:rsidRPr="00154A96">
        <w:rPr>
          <w:iCs/>
          <w:szCs w:val="18"/>
          <w:lang w:val="nl-NL"/>
        </w:rPr>
        <w:t xml:space="preserve">verplichting tot bevordering </w:t>
      </w:r>
      <w:r w:rsidR="00974625" w:rsidRPr="00154A96">
        <w:rPr>
          <w:szCs w:val="18"/>
          <w:lang w:val="nl-NL"/>
        </w:rPr>
        <w:t>–</w:t>
      </w:r>
      <w:r w:rsidR="00322086" w:rsidRPr="00154A96">
        <w:rPr>
          <w:szCs w:val="18"/>
          <w:lang w:val="nl-NL"/>
        </w:rPr>
        <w:t xml:space="preserve"> </w:t>
      </w:r>
      <w:r w:rsidRPr="00154A96">
        <w:rPr>
          <w:iCs/>
          <w:szCs w:val="18"/>
          <w:lang w:val="nl-NL"/>
        </w:rPr>
        <w:t xml:space="preserve">opgenomen </w:t>
      </w:r>
      <w:r w:rsidR="00E854E3" w:rsidRPr="00154A96">
        <w:rPr>
          <w:szCs w:val="18"/>
          <w:lang w:val="nl-NL"/>
        </w:rPr>
        <w:t xml:space="preserve">in </w:t>
      </w:r>
      <w:r w:rsidRPr="00154A96">
        <w:rPr>
          <w:szCs w:val="18"/>
          <w:lang w:val="nl-NL"/>
        </w:rPr>
        <w:t>de verplichting tot nakoming</w:t>
      </w:r>
      <w:r w:rsidR="00E854E3" w:rsidRPr="00154A96">
        <w:rPr>
          <w:szCs w:val="18"/>
          <w:lang w:val="nl-NL"/>
        </w:rPr>
        <w:t xml:space="preserve">, </w:t>
      </w:r>
      <w:r w:rsidRPr="00154A96">
        <w:rPr>
          <w:szCs w:val="18"/>
          <w:lang w:val="nl-NL"/>
        </w:rPr>
        <w:t xml:space="preserve">op basis van het belang van gezondheidsbevordering in </w:t>
      </w:r>
      <w:r w:rsidR="00974625" w:rsidRPr="00154A96">
        <w:rPr>
          <w:szCs w:val="18"/>
          <w:lang w:val="nl-NL"/>
        </w:rPr>
        <w:t>de werkzaamheden</w:t>
      </w:r>
      <w:r w:rsidRPr="00154A96">
        <w:rPr>
          <w:szCs w:val="18"/>
          <w:lang w:val="nl-NL"/>
        </w:rPr>
        <w:t xml:space="preserve"> van </w:t>
      </w:r>
      <w:r w:rsidR="00E854E3" w:rsidRPr="00154A96">
        <w:rPr>
          <w:szCs w:val="18"/>
          <w:lang w:val="nl-NL"/>
        </w:rPr>
        <w:t xml:space="preserve">de Wereldgezondheidsorganisatie </w:t>
      </w:r>
      <w:r w:rsidRPr="00154A96">
        <w:rPr>
          <w:szCs w:val="18"/>
          <w:lang w:val="nl-NL"/>
        </w:rPr>
        <w:t xml:space="preserve">en </w:t>
      </w:r>
      <w:r w:rsidR="00E854E3" w:rsidRPr="00154A96">
        <w:rPr>
          <w:szCs w:val="18"/>
          <w:lang w:val="nl-NL"/>
        </w:rPr>
        <w:t>andere</w:t>
      </w:r>
      <w:r w:rsidR="00974625" w:rsidRPr="00154A96">
        <w:rPr>
          <w:szCs w:val="18"/>
          <w:lang w:val="nl-NL"/>
        </w:rPr>
        <w:t xml:space="preserve"> organen</w:t>
      </w:r>
      <w:r w:rsidRPr="00154A96">
        <w:rPr>
          <w:szCs w:val="18"/>
          <w:lang w:val="nl-NL"/>
        </w:rPr>
        <w:t xml:space="preserve">. </w:t>
      </w:r>
      <w:r w:rsidR="00E854E3" w:rsidRPr="00154A96">
        <w:rPr>
          <w:szCs w:val="18"/>
          <w:lang w:val="nl-NL"/>
        </w:rPr>
        <w:t xml:space="preserve">Aangezien het </w:t>
      </w:r>
      <w:r w:rsidR="00974625" w:rsidRPr="00154A96">
        <w:rPr>
          <w:szCs w:val="18"/>
          <w:lang w:val="nl-NL"/>
        </w:rPr>
        <w:t>V</w:t>
      </w:r>
      <w:r w:rsidR="00E854E3" w:rsidRPr="00154A96">
        <w:rPr>
          <w:szCs w:val="18"/>
          <w:lang w:val="nl-NL"/>
        </w:rPr>
        <w:t xml:space="preserve">erdrag </w:t>
      </w:r>
      <w:r w:rsidR="00974625" w:rsidRPr="00154A96">
        <w:rPr>
          <w:szCs w:val="18"/>
          <w:lang w:val="nl-NL"/>
        </w:rPr>
        <w:t>volgens</w:t>
      </w:r>
      <w:r w:rsidR="00E854E3" w:rsidRPr="00154A96">
        <w:rPr>
          <w:szCs w:val="18"/>
          <w:lang w:val="nl-NL"/>
        </w:rPr>
        <w:t xml:space="preserve"> artikel 1 tot </w:t>
      </w:r>
      <w:r w:rsidRPr="00154A96">
        <w:rPr>
          <w:szCs w:val="18"/>
          <w:lang w:val="nl-NL"/>
        </w:rPr>
        <w:t xml:space="preserve">doel heeft het volledige en gelijkwaardige genot van alle mensenrechten en fundamentele vrijheden door alle personen met een handicap te bevorderen en de eerbiediging van hun inherente waardigheid te bevorderen, is in deze algemene </w:t>
      </w:r>
      <w:r w:rsidR="00BF6216" w:rsidRPr="00154A96">
        <w:rPr>
          <w:szCs w:val="18"/>
          <w:lang w:val="nl-NL"/>
        </w:rPr>
        <w:t>commentaar</w:t>
      </w:r>
      <w:r w:rsidRPr="00154A96">
        <w:rPr>
          <w:szCs w:val="18"/>
          <w:lang w:val="nl-NL"/>
        </w:rPr>
        <w:t xml:space="preserve"> de verplichting tot bevordering </w:t>
      </w:r>
      <w:r w:rsidR="00322086" w:rsidRPr="00154A96">
        <w:rPr>
          <w:szCs w:val="18"/>
          <w:lang w:val="nl-NL"/>
        </w:rPr>
        <w:t xml:space="preserve">opgenomen onder </w:t>
      </w:r>
      <w:r w:rsidRPr="00154A96">
        <w:rPr>
          <w:szCs w:val="18"/>
          <w:lang w:val="nl-NL"/>
        </w:rPr>
        <w:t xml:space="preserve">de </w:t>
      </w:r>
      <w:r w:rsidR="00E854E3" w:rsidRPr="00154A96">
        <w:rPr>
          <w:szCs w:val="18"/>
          <w:lang w:val="nl-NL"/>
        </w:rPr>
        <w:t xml:space="preserve">verplichting tot </w:t>
      </w:r>
      <w:r w:rsidRPr="00154A96">
        <w:rPr>
          <w:szCs w:val="18"/>
          <w:lang w:val="nl-NL"/>
        </w:rPr>
        <w:t>nakoming.</w:t>
      </w:r>
    </w:p>
  </w:footnote>
  <w:footnote w:id="43">
    <w:p w14:paraId="0D888EAD" w14:textId="4D178D5C" w:rsidR="00F6202B" w:rsidRPr="00154A96" w:rsidRDefault="002755DB">
      <w:pPr>
        <w:pStyle w:val="Voetnoottekst"/>
        <w:rPr>
          <w:szCs w:val="18"/>
          <w:lang w:val="nl-NL"/>
        </w:rPr>
      </w:pPr>
      <w:r w:rsidRPr="00154A96">
        <w:rPr>
          <w:szCs w:val="18"/>
          <w:lang w:val="nl-NL"/>
        </w:rPr>
        <w:tab/>
      </w:r>
      <w:r w:rsidRPr="00154A96">
        <w:rPr>
          <w:rStyle w:val="Voetnootmarkering"/>
          <w:lang w:val="nl-NL"/>
        </w:rPr>
        <w:footnoteRef/>
      </w:r>
      <w:r w:rsidRPr="00154A96">
        <w:rPr>
          <w:szCs w:val="18"/>
          <w:lang w:val="nl-NL"/>
        </w:rPr>
        <w:tab/>
      </w:r>
      <w:r w:rsidR="005069F9" w:rsidRPr="00154A96">
        <w:rPr>
          <w:lang w:val="nl-NL"/>
        </w:rPr>
        <w:t>Comité voor economische, sociale en culturele rechten</w:t>
      </w:r>
      <w:r w:rsidRPr="00154A96">
        <w:rPr>
          <w:szCs w:val="18"/>
          <w:lang w:val="nl-NL"/>
        </w:rPr>
        <w:t>, algeme</w:t>
      </w:r>
      <w:r w:rsidR="00BF6216" w:rsidRPr="00154A96">
        <w:rPr>
          <w:szCs w:val="18"/>
          <w:lang w:val="nl-NL"/>
        </w:rPr>
        <w:t xml:space="preserve">ne </w:t>
      </w:r>
      <w:r w:rsidRPr="00154A96">
        <w:rPr>
          <w:szCs w:val="18"/>
          <w:lang w:val="nl-NL"/>
        </w:rPr>
        <w:t xml:space="preserve">commentaar nr. </w:t>
      </w:r>
      <w:r w:rsidR="00E760E8" w:rsidRPr="00154A96">
        <w:rPr>
          <w:szCs w:val="18"/>
          <w:lang w:val="nl-NL"/>
        </w:rPr>
        <w:t xml:space="preserve">3 </w:t>
      </w:r>
      <w:r w:rsidR="001025E9" w:rsidRPr="00154A96">
        <w:rPr>
          <w:szCs w:val="18"/>
          <w:lang w:val="nl-NL"/>
        </w:rPr>
        <w:t>(</w:t>
      </w:r>
      <w:r w:rsidR="00E760E8" w:rsidRPr="00154A96">
        <w:rPr>
          <w:szCs w:val="18"/>
          <w:lang w:val="nl-NL"/>
        </w:rPr>
        <w:t>1990</w:t>
      </w:r>
      <w:r w:rsidR="001025E9" w:rsidRPr="00154A96">
        <w:rPr>
          <w:szCs w:val="18"/>
          <w:lang w:val="nl-NL"/>
        </w:rPr>
        <w:t>)</w:t>
      </w:r>
      <w:r w:rsidRPr="00154A96">
        <w:rPr>
          <w:szCs w:val="18"/>
          <w:lang w:val="nl-NL"/>
        </w:rPr>
        <w:t xml:space="preserve">, </w:t>
      </w:r>
      <w:r w:rsidR="00974625" w:rsidRPr="00154A96">
        <w:rPr>
          <w:szCs w:val="18"/>
          <w:lang w:val="nl-NL"/>
        </w:rPr>
        <w:t>par.</w:t>
      </w:r>
      <w:r w:rsidRPr="00154A96">
        <w:rPr>
          <w:szCs w:val="18"/>
          <w:lang w:val="nl-NL"/>
        </w:rPr>
        <w:t xml:space="preserve"> </w:t>
      </w:r>
      <w:r w:rsidR="00E760E8" w:rsidRPr="00154A96">
        <w:rPr>
          <w:szCs w:val="18"/>
          <w:lang w:val="nl-NL"/>
        </w:rPr>
        <w:t>9</w:t>
      </w:r>
      <w:r w:rsidRPr="00154A96">
        <w:rPr>
          <w:szCs w:val="18"/>
          <w:lang w:val="nl-NL"/>
        </w:rPr>
        <w:t>.</w:t>
      </w:r>
    </w:p>
  </w:footnote>
  <w:footnote w:id="44">
    <w:p w14:paraId="4AD63D11" w14:textId="069AFBDC" w:rsidR="00F6202B" w:rsidRPr="00154A96" w:rsidRDefault="002755DB">
      <w:pPr>
        <w:pStyle w:val="Voetnoottekst"/>
        <w:rPr>
          <w:szCs w:val="18"/>
          <w:lang w:val="nl-NL"/>
        </w:rPr>
      </w:pPr>
      <w:r w:rsidRPr="00154A96">
        <w:rPr>
          <w:szCs w:val="18"/>
          <w:lang w:val="nl-NL"/>
        </w:rPr>
        <w:tab/>
      </w:r>
      <w:r w:rsidRPr="00154A96">
        <w:rPr>
          <w:rStyle w:val="Voetnootmarkering"/>
          <w:lang w:val="nl-NL"/>
        </w:rPr>
        <w:footnoteRef/>
      </w:r>
      <w:r w:rsidRPr="00154A96">
        <w:rPr>
          <w:szCs w:val="18"/>
          <w:lang w:val="nl-NL"/>
        </w:rPr>
        <w:tab/>
      </w:r>
      <w:r w:rsidRPr="00154A96">
        <w:rPr>
          <w:lang w:val="nl-NL"/>
        </w:rPr>
        <w:t xml:space="preserve">Comité voor economische, sociale en culturele rechten, </w:t>
      </w:r>
      <w:r w:rsidRPr="00154A96">
        <w:rPr>
          <w:szCs w:val="18"/>
          <w:lang w:val="nl-NL"/>
        </w:rPr>
        <w:t>algeme</w:t>
      </w:r>
      <w:r w:rsidR="00BF6216" w:rsidRPr="00154A96">
        <w:rPr>
          <w:szCs w:val="18"/>
          <w:lang w:val="nl-NL"/>
        </w:rPr>
        <w:t>ne</w:t>
      </w:r>
      <w:r w:rsidRPr="00154A96">
        <w:rPr>
          <w:szCs w:val="18"/>
          <w:lang w:val="nl-NL"/>
        </w:rPr>
        <w:t xml:space="preserve"> commentaar nr. 23 </w:t>
      </w:r>
      <w:r w:rsidR="006D63D8" w:rsidRPr="00154A96">
        <w:rPr>
          <w:szCs w:val="18"/>
          <w:lang w:val="nl-NL"/>
        </w:rPr>
        <w:t>(2016)</w:t>
      </w:r>
      <w:r w:rsidRPr="00154A96">
        <w:rPr>
          <w:szCs w:val="18"/>
          <w:lang w:val="nl-NL"/>
        </w:rPr>
        <w:t xml:space="preserve">, </w:t>
      </w:r>
      <w:r w:rsidR="00974625" w:rsidRPr="00154A96">
        <w:rPr>
          <w:szCs w:val="18"/>
          <w:lang w:val="nl-NL"/>
        </w:rPr>
        <w:t>par.</w:t>
      </w:r>
      <w:r w:rsidRPr="00154A96">
        <w:rPr>
          <w:szCs w:val="18"/>
          <w:lang w:val="nl-NL"/>
        </w:rPr>
        <w:t xml:space="preserve"> 47 (a).</w:t>
      </w:r>
    </w:p>
  </w:footnote>
  <w:footnote w:id="45">
    <w:p w14:paraId="17F19430" w14:textId="5D3F3C37" w:rsidR="00F6202B" w:rsidRPr="00154A96" w:rsidRDefault="002755DB">
      <w:pPr>
        <w:pStyle w:val="Voetnoottekst"/>
        <w:rPr>
          <w:szCs w:val="18"/>
          <w:lang w:val="nl-NL"/>
        </w:rPr>
      </w:pPr>
      <w:r w:rsidRPr="00154A96">
        <w:rPr>
          <w:szCs w:val="18"/>
          <w:lang w:val="nl-NL"/>
        </w:rPr>
        <w:tab/>
      </w:r>
      <w:r w:rsidRPr="00154A96">
        <w:rPr>
          <w:rStyle w:val="Voetnootmarkering"/>
          <w:lang w:val="nl-NL"/>
        </w:rPr>
        <w:footnoteRef/>
      </w:r>
      <w:r w:rsidRPr="00154A96">
        <w:rPr>
          <w:szCs w:val="18"/>
          <w:lang w:val="nl-NL"/>
        </w:rPr>
        <w:tab/>
        <w:t xml:space="preserve">Comité voor de rechten van personen met een handicap, </w:t>
      </w:r>
      <w:r w:rsidR="00F95F1D" w:rsidRPr="00154A96">
        <w:rPr>
          <w:szCs w:val="18"/>
          <w:lang w:val="nl-NL"/>
        </w:rPr>
        <w:t>algemene commentaar</w:t>
      </w:r>
      <w:r w:rsidRPr="00154A96">
        <w:rPr>
          <w:szCs w:val="18"/>
          <w:lang w:val="nl-NL"/>
        </w:rPr>
        <w:t xml:space="preserve"> nr. 3 </w:t>
      </w:r>
      <w:r w:rsidR="005D0868" w:rsidRPr="00154A96">
        <w:rPr>
          <w:szCs w:val="18"/>
          <w:lang w:val="nl-NL"/>
        </w:rPr>
        <w:t>(2016)</w:t>
      </w:r>
      <w:r w:rsidRPr="00154A96">
        <w:rPr>
          <w:szCs w:val="18"/>
          <w:lang w:val="nl-NL"/>
        </w:rPr>
        <w:t xml:space="preserve">, </w:t>
      </w:r>
      <w:r w:rsidR="00974625" w:rsidRPr="00154A96">
        <w:rPr>
          <w:szCs w:val="18"/>
          <w:lang w:val="nl-NL"/>
        </w:rPr>
        <w:t>par.</w:t>
      </w:r>
      <w:r w:rsidRPr="00154A96">
        <w:rPr>
          <w:szCs w:val="18"/>
          <w:lang w:val="nl-NL"/>
        </w:rPr>
        <w:t xml:space="preserve"> 18; Mensenrechtencomité, algemene </w:t>
      </w:r>
      <w:r w:rsidR="00BF6216" w:rsidRPr="00154A96">
        <w:rPr>
          <w:szCs w:val="18"/>
          <w:lang w:val="nl-NL"/>
        </w:rPr>
        <w:t>commentaren</w:t>
      </w:r>
      <w:r w:rsidRPr="00154A96">
        <w:rPr>
          <w:szCs w:val="18"/>
          <w:lang w:val="nl-NL"/>
        </w:rPr>
        <w:t xml:space="preserve"> nr. 18 (1989), </w:t>
      </w:r>
      <w:r w:rsidR="00974625" w:rsidRPr="00154A96">
        <w:rPr>
          <w:szCs w:val="18"/>
          <w:lang w:val="nl-NL"/>
        </w:rPr>
        <w:t>par.</w:t>
      </w:r>
      <w:r w:rsidRPr="00154A96">
        <w:rPr>
          <w:szCs w:val="18"/>
          <w:lang w:val="nl-NL"/>
        </w:rPr>
        <w:t xml:space="preserve"> 9, en nr. 28 (2000), </w:t>
      </w:r>
      <w:r w:rsidR="00974625" w:rsidRPr="00154A96">
        <w:rPr>
          <w:szCs w:val="18"/>
          <w:lang w:val="nl-NL"/>
        </w:rPr>
        <w:t>par.</w:t>
      </w:r>
      <w:r w:rsidRPr="00154A96">
        <w:rPr>
          <w:szCs w:val="18"/>
          <w:lang w:val="nl-NL"/>
        </w:rPr>
        <w:t xml:space="preserve"> 31; </w:t>
      </w:r>
      <w:r w:rsidRPr="00154A96">
        <w:rPr>
          <w:lang w:val="nl-NL"/>
        </w:rPr>
        <w:t>Comité voor economische, sociale en culturele rechten</w:t>
      </w:r>
      <w:r w:rsidRPr="00154A96">
        <w:rPr>
          <w:szCs w:val="18"/>
          <w:lang w:val="nl-NL"/>
        </w:rPr>
        <w:t xml:space="preserve">, </w:t>
      </w:r>
      <w:r w:rsidR="00F95F1D" w:rsidRPr="00154A96">
        <w:rPr>
          <w:szCs w:val="18"/>
          <w:lang w:val="nl-NL"/>
        </w:rPr>
        <w:t>algemene commentaar</w:t>
      </w:r>
      <w:r w:rsidRPr="00154A96">
        <w:rPr>
          <w:szCs w:val="18"/>
          <w:lang w:val="nl-NL"/>
        </w:rPr>
        <w:t xml:space="preserve"> nr. 20 </w:t>
      </w:r>
      <w:r w:rsidR="001C1B9A" w:rsidRPr="00154A96">
        <w:rPr>
          <w:szCs w:val="18"/>
          <w:lang w:val="nl-NL"/>
        </w:rPr>
        <w:t>(2009)</w:t>
      </w:r>
      <w:r w:rsidRPr="00154A96">
        <w:rPr>
          <w:szCs w:val="18"/>
          <w:lang w:val="nl-NL"/>
        </w:rPr>
        <w:t xml:space="preserve">, </w:t>
      </w:r>
      <w:r w:rsidR="00974625" w:rsidRPr="00154A96">
        <w:rPr>
          <w:szCs w:val="18"/>
          <w:lang w:val="nl-NL"/>
        </w:rPr>
        <w:t>par.</w:t>
      </w:r>
      <w:r w:rsidRPr="00154A96">
        <w:rPr>
          <w:szCs w:val="18"/>
          <w:lang w:val="nl-NL"/>
        </w:rPr>
        <w:t xml:space="preserve"> 11; Comité inzake de uitbanning van discriminatie van vrouwen, algemene aanbeveling nr. 28 </w:t>
      </w:r>
      <w:r w:rsidR="003D5540" w:rsidRPr="00154A96">
        <w:rPr>
          <w:szCs w:val="18"/>
          <w:lang w:val="nl-NL"/>
        </w:rPr>
        <w:t>(2010)</w:t>
      </w:r>
      <w:r w:rsidRPr="00154A96">
        <w:rPr>
          <w:szCs w:val="18"/>
          <w:lang w:val="nl-NL"/>
        </w:rPr>
        <w:t xml:space="preserve">, </w:t>
      </w:r>
      <w:r w:rsidR="00974625" w:rsidRPr="00154A96">
        <w:rPr>
          <w:szCs w:val="18"/>
          <w:lang w:val="nl-NL"/>
        </w:rPr>
        <w:t>par.</w:t>
      </w:r>
      <w:r w:rsidRPr="00154A96">
        <w:rPr>
          <w:szCs w:val="18"/>
          <w:lang w:val="nl-NL"/>
        </w:rPr>
        <w:t xml:space="preserve"> 9; en </w:t>
      </w:r>
      <w:r w:rsidRPr="00154A96">
        <w:rPr>
          <w:szCs w:val="18"/>
          <w:u w:color="000000"/>
          <w:lang w:val="nl-NL"/>
        </w:rPr>
        <w:t xml:space="preserve">Comité inzake de uitbanning van rassendiscriminatie, algemene </w:t>
      </w:r>
      <w:r w:rsidR="00DB568D" w:rsidRPr="00154A96">
        <w:rPr>
          <w:szCs w:val="18"/>
          <w:u w:color="000000"/>
          <w:lang w:val="nl-NL"/>
        </w:rPr>
        <w:t xml:space="preserve">aanbeveling </w:t>
      </w:r>
      <w:r w:rsidRPr="00154A96">
        <w:rPr>
          <w:szCs w:val="18"/>
          <w:u w:color="000000"/>
          <w:lang w:val="nl-NL"/>
        </w:rPr>
        <w:t xml:space="preserve">nr. </w:t>
      </w:r>
      <w:r w:rsidRPr="00154A96">
        <w:rPr>
          <w:szCs w:val="18"/>
          <w:lang w:val="nl-NL"/>
        </w:rPr>
        <w:t>25 (2000), par. 1-2.</w:t>
      </w:r>
    </w:p>
  </w:footnote>
  <w:footnote w:id="46">
    <w:p w14:paraId="29CEB534" w14:textId="3FC1237A" w:rsidR="00F6202B" w:rsidRPr="00301F00" w:rsidRDefault="002755DB">
      <w:pPr>
        <w:pStyle w:val="Voetnoottekst"/>
        <w:rPr>
          <w:szCs w:val="18"/>
          <w:lang w:val="fr-BE"/>
        </w:rPr>
      </w:pPr>
      <w:r w:rsidRPr="00154A96">
        <w:rPr>
          <w:szCs w:val="18"/>
          <w:lang w:val="nl-NL"/>
        </w:rPr>
        <w:tab/>
      </w:r>
      <w:r w:rsidRPr="00154A96">
        <w:rPr>
          <w:rStyle w:val="Voetnootmarkering"/>
          <w:lang w:val="nl-NL"/>
        </w:rPr>
        <w:footnoteRef/>
      </w:r>
      <w:r w:rsidRPr="00301F00">
        <w:rPr>
          <w:szCs w:val="18"/>
          <w:lang w:val="fr-BE"/>
        </w:rPr>
        <w:tab/>
        <w:t xml:space="preserve">CRPD/C/BRA/CO/1, </w:t>
      </w:r>
      <w:r w:rsidR="00974625" w:rsidRPr="00301F00">
        <w:rPr>
          <w:szCs w:val="18"/>
          <w:lang w:val="fr-BE"/>
        </w:rPr>
        <w:t>par.</w:t>
      </w:r>
      <w:r w:rsidRPr="00301F00">
        <w:rPr>
          <w:szCs w:val="18"/>
          <w:lang w:val="fr-BE"/>
        </w:rPr>
        <w:t xml:space="preserve"> 13, en CRPD/C/MUS/CO/1, par. 10 en 12.</w:t>
      </w:r>
    </w:p>
  </w:footnote>
  <w:footnote w:id="47">
    <w:p w14:paraId="7A0A5578" w14:textId="131DAD17" w:rsidR="00F6202B" w:rsidRPr="00301F00" w:rsidRDefault="002755DB">
      <w:pPr>
        <w:pStyle w:val="Voetnoottekst"/>
        <w:rPr>
          <w:szCs w:val="18"/>
          <w:lang w:val="fr-BE"/>
        </w:rPr>
      </w:pPr>
      <w:r w:rsidRPr="00301F00">
        <w:rPr>
          <w:szCs w:val="18"/>
          <w:lang w:val="fr-BE"/>
        </w:rPr>
        <w:tab/>
      </w:r>
      <w:r w:rsidRPr="00154A96">
        <w:rPr>
          <w:rStyle w:val="Voetnootmarkering"/>
          <w:lang w:val="nl-NL"/>
        </w:rPr>
        <w:footnoteRef/>
      </w:r>
      <w:r w:rsidRPr="00301F00">
        <w:rPr>
          <w:szCs w:val="18"/>
          <w:lang w:val="fr-BE"/>
        </w:rPr>
        <w:tab/>
        <w:t xml:space="preserve">CRPD/C/CZE/CO/1, </w:t>
      </w:r>
      <w:r w:rsidR="00974625" w:rsidRPr="00301F00">
        <w:rPr>
          <w:szCs w:val="18"/>
          <w:lang w:val="fr-BE"/>
        </w:rPr>
        <w:t>par.</w:t>
      </w:r>
      <w:r w:rsidRPr="00301F00">
        <w:rPr>
          <w:szCs w:val="18"/>
          <w:lang w:val="fr-BE"/>
        </w:rPr>
        <w:t xml:space="preserve"> 14</w:t>
      </w:r>
      <w:r w:rsidR="00083354" w:rsidRPr="00301F00">
        <w:rPr>
          <w:szCs w:val="18"/>
          <w:lang w:val="fr-BE"/>
        </w:rPr>
        <w:t xml:space="preserve">, en </w:t>
      </w:r>
      <w:r w:rsidRPr="00301F00">
        <w:rPr>
          <w:szCs w:val="18"/>
          <w:lang w:val="fr-BE"/>
        </w:rPr>
        <w:t xml:space="preserve">CRPD/C/DEU/CO/1, </w:t>
      </w:r>
      <w:r w:rsidR="00974625" w:rsidRPr="00301F00">
        <w:rPr>
          <w:szCs w:val="18"/>
          <w:lang w:val="fr-BE"/>
        </w:rPr>
        <w:t>par.</w:t>
      </w:r>
      <w:r w:rsidRPr="00301F00">
        <w:rPr>
          <w:szCs w:val="18"/>
          <w:lang w:val="fr-BE"/>
        </w:rPr>
        <w:t xml:space="preserve"> 16 (b).</w:t>
      </w:r>
    </w:p>
  </w:footnote>
  <w:footnote w:id="48">
    <w:p w14:paraId="797DC4AA" w14:textId="555FAE19" w:rsidR="00F6202B" w:rsidRPr="00301F00" w:rsidRDefault="002755DB">
      <w:pPr>
        <w:pStyle w:val="Voetnoottekst"/>
        <w:rPr>
          <w:szCs w:val="18"/>
          <w:lang w:val="en-US"/>
        </w:rPr>
      </w:pPr>
      <w:r w:rsidRPr="00301F00">
        <w:rPr>
          <w:szCs w:val="18"/>
          <w:lang w:val="fr-BE"/>
        </w:rPr>
        <w:tab/>
      </w:r>
      <w:r w:rsidRPr="00154A96">
        <w:rPr>
          <w:rStyle w:val="Voetnootmarkering"/>
          <w:lang w:val="nl-NL"/>
        </w:rPr>
        <w:footnoteRef/>
      </w:r>
      <w:r w:rsidRPr="00301F00">
        <w:rPr>
          <w:szCs w:val="18"/>
          <w:lang w:val="en-US"/>
        </w:rPr>
        <w:tab/>
        <w:t xml:space="preserve">CRPD/C/DNK/CO/1, </w:t>
      </w:r>
      <w:r w:rsidR="00974625" w:rsidRPr="00301F00">
        <w:rPr>
          <w:szCs w:val="18"/>
          <w:lang w:val="en-US"/>
        </w:rPr>
        <w:t>par.</w:t>
      </w:r>
      <w:r w:rsidRPr="00301F00">
        <w:rPr>
          <w:szCs w:val="18"/>
          <w:lang w:val="en-US"/>
        </w:rPr>
        <w:t xml:space="preserve"> 17.</w:t>
      </w:r>
    </w:p>
  </w:footnote>
  <w:footnote w:id="49">
    <w:p w14:paraId="68EEB97F" w14:textId="67BB5E9B" w:rsidR="00F6202B" w:rsidRPr="00301F00" w:rsidRDefault="002755DB">
      <w:pPr>
        <w:pStyle w:val="Voetnoottekst"/>
        <w:rPr>
          <w:szCs w:val="18"/>
          <w:lang w:val="en-US"/>
        </w:rPr>
      </w:pPr>
      <w:r w:rsidRPr="00301F00">
        <w:rPr>
          <w:szCs w:val="18"/>
          <w:lang w:val="en-US"/>
        </w:rPr>
        <w:tab/>
      </w:r>
      <w:r w:rsidRPr="00154A96">
        <w:rPr>
          <w:rStyle w:val="Voetnootmarkering"/>
          <w:lang w:val="nl-NL"/>
        </w:rPr>
        <w:footnoteRef/>
      </w:r>
      <w:r w:rsidRPr="00301F00">
        <w:rPr>
          <w:szCs w:val="18"/>
          <w:lang w:val="en-US"/>
        </w:rPr>
        <w:tab/>
        <w:t xml:space="preserve">CRPD/C/AUS/CO/1, </w:t>
      </w:r>
      <w:r w:rsidR="00974625" w:rsidRPr="00301F00">
        <w:rPr>
          <w:szCs w:val="18"/>
          <w:lang w:val="en-US"/>
        </w:rPr>
        <w:t>par.</w:t>
      </w:r>
      <w:r w:rsidRPr="00301F00">
        <w:rPr>
          <w:szCs w:val="18"/>
          <w:lang w:val="en-US"/>
        </w:rPr>
        <w:t xml:space="preserve"> 15.</w:t>
      </w:r>
    </w:p>
  </w:footnote>
  <w:footnote w:id="50">
    <w:p w14:paraId="294F3433" w14:textId="2619C4CE" w:rsidR="00F6202B" w:rsidRPr="00301F00" w:rsidRDefault="002755DB">
      <w:pPr>
        <w:pStyle w:val="Voetnoottekst"/>
        <w:rPr>
          <w:szCs w:val="18"/>
          <w:lang w:val="en-US"/>
        </w:rPr>
      </w:pPr>
      <w:r w:rsidRPr="00301F00">
        <w:rPr>
          <w:szCs w:val="18"/>
          <w:lang w:val="en-US"/>
        </w:rPr>
        <w:tab/>
      </w:r>
      <w:r w:rsidRPr="00154A96">
        <w:rPr>
          <w:rStyle w:val="Voetnootmarkering"/>
          <w:lang w:val="nl-NL"/>
        </w:rPr>
        <w:footnoteRef/>
      </w:r>
      <w:r w:rsidRPr="00301F00">
        <w:rPr>
          <w:szCs w:val="18"/>
          <w:lang w:val="en-US"/>
        </w:rPr>
        <w:tab/>
        <w:t>CRPD/C/SWE/CO/1, par. 12 en 14.</w:t>
      </w:r>
    </w:p>
  </w:footnote>
  <w:footnote w:id="51">
    <w:p w14:paraId="5E92540E" w14:textId="77777777" w:rsidR="00F6202B" w:rsidRPr="00301F00" w:rsidRDefault="002755DB">
      <w:pPr>
        <w:pStyle w:val="Voetnoottekst"/>
        <w:ind w:hanging="567"/>
        <w:rPr>
          <w:szCs w:val="18"/>
          <w:lang w:val="en-US"/>
        </w:rPr>
      </w:pPr>
      <w:r w:rsidRPr="00301F00">
        <w:rPr>
          <w:szCs w:val="18"/>
          <w:lang w:val="en-US"/>
        </w:rPr>
        <w:tab/>
      </w:r>
      <w:r w:rsidRPr="00154A96">
        <w:rPr>
          <w:rStyle w:val="Voetnootmarkering"/>
          <w:lang w:val="nl-NL"/>
        </w:rPr>
        <w:footnoteRef/>
      </w:r>
      <w:r w:rsidRPr="00301F00">
        <w:rPr>
          <w:szCs w:val="18"/>
          <w:lang w:val="en-US"/>
        </w:rPr>
        <w:tab/>
        <w:t>CRPD/C/DEU/CO/1, par. 10.</w:t>
      </w:r>
    </w:p>
  </w:footnote>
  <w:footnote w:id="52">
    <w:p w14:paraId="2EAF7A86" w14:textId="77777777" w:rsidR="00F6202B" w:rsidRPr="00301F00" w:rsidRDefault="002755DB">
      <w:pPr>
        <w:pStyle w:val="Voetnoottekst"/>
        <w:rPr>
          <w:szCs w:val="18"/>
          <w:lang w:val="en-US"/>
        </w:rPr>
      </w:pPr>
      <w:r w:rsidRPr="00301F00">
        <w:rPr>
          <w:szCs w:val="18"/>
          <w:lang w:val="en-US"/>
        </w:rPr>
        <w:tab/>
      </w:r>
      <w:r w:rsidRPr="00154A96">
        <w:rPr>
          <w:rStyle w:val="Voetnootmarkering"/>
          <w:lang w:val="nl-NL"/>
        </w:rPr>
        <w:footnoteRef/>
      </w:r>
      <w:r w:rsidRPr="00301F00">
        <w:rPr>
          <w:szCs w:val="18"/>
          <w:lang w:val="en-US"/>
        </w:rPr>
        <w:tab/>
        <w:t>Verdrag, art. 4 (1) (g).</w:t>
      </w:r>
    </w:p>
  </w:footnote>
  <w:footnote w:id="53">
    <w:p w14:paraId="1CFC2D90" w14:textId="3F09A30A" w:rsidR="00F6202B" w:rsidRPr="00301F00" w:rsidRDefault="002755DB">
      <w:pPr>
        <w:pStyle w:val="Voetnoottekst"/>
        <w:rPr>
          <w:lang w:val="en-US"/>
        </w:rPr>
      </w:pPr>
      <w:r w:rsidRPr="00301F00">
        <w:rPr>
          <w:lang w:val="en-US"/>
        </w:rPr>
        <w:tab/>
      </w:r>
      <w:r w:rsidRPr="00154A96">
        <w:rPr>
          <w:rStyle w:val="Voetnootmarkering"/>
          <w:lang w:val="nl-NL"/>
        </w:rPr>
        <w:footnoteRef/>
      </w:r>
      <w:r w:rsidRPr="00301F00">
        <w:rPr>
          <w:lang w:val="en-US"/>
        </w:rPr>
        <w:t xml:space="preserve"> </w:t>
      </w:r>
      <w:r w:rsidRPr="00301F00">
        <w:rPr>
          <w:lang w:val="en-US"/>
        </w:rPr>
        <w:tab/>
        <w:t xml:space="preserve">Comité voor economische, sociale en culturele rechten, </w:t>
      </w:r>
      <w:r w:rsidR="00F95F1D" w:rsidRPr="00301F00">
        <w:rPr>
          <w:lang w:val="en-US"/>
        </w:rPr>
        <w:t>algemene commentaar</w:t>
      </w:r>
      <w:r w:rsidRPr="00301F00">
        <w:rPr>
          <w:lang w:val="en-US"/>
        </w:rPr>
        <w:t xml:space="preserve"> nr. 3 (1990), </w:t>
      </w:r>
      <w:r w:rsidR="00974625" w:rsidRPr="00301F00">
        <w:rPr>
          <w:lang w:val="en-US"/>
        </w:rPr>
        <w:t>par.</w:t>
      </w:r>
      <w:r w:rsidRPr="00301F00">
        <w:rPr>
          <w:lang w:val="en-US"/>
        </w:rPr>
        <w:t xml:space="preserve"> </w:t>
      </w:r>
      <w:r w:rsidR="00080734" w:rsidRPr="00301F00">
        <w:rPr>
          <w:lang w:val="en-US"/>
        </w:rPr>
        <w:t>1</w:t>
      </w:r>
      <w:r w:rsidRPr="00301F00">
        <w:rPr>
          <w:lang w:val="en-US"/>
        </w:rPr>
        <w:t>.</w:t>
      </w:r>
    </w:p>
  </w:footnote>
  <w:footnote w:id="54">
    <w:p w14:paraId="116CC0B6" w14:textId="0ED341B5" w:rsidR="00F6202B" w:rsidRPr="00154A96" w:rsidRDefault="002755DB">
      <w:pPr>
        <w:pStyle w:val="Voetnoottekst"/>
        <w:rPr>
          <w:lang w:val="nl-NL"/>
        </w:rPr>
      </w:pPr>
      <w:r w:rsidRPr="00301F00">
        <w:rPr>
          <w:lang w:val="en-US"/>
        </w:rPr>
        <w:tab/>
      </w:r>
      <w:r w:rsidRPr="00154A96">
        <w:rPr>
          <w:rStyle w:val="Voetnootmarkering"/>
          <w:lang w:val="nl-NL"/>
        </w:rPr>
        <w:footnoteRef/>
      </w:r>
      <w:r w:rsidRPr="00154A96">
        <w:rPr>
          <w:lang w:val="nl-NL"/>
        </w:rPr>
        <w:t xml:space="preserve"> </w:t>
      </w:r>
      <w:r w:rsidRPr="00154A96">
        <w:rPr>
          <w:lang w:val="nl-NL"/>
        </w:rPr>
        <w:tab/>
      </w:r>
      <w:bookmarkStart w:id="33" w:name="_Hlk103946815"/>
      <w:r w:rsidRPr="00154A96">
        <w:rPr>
          <w:lang w:val="nl-NL"/>
        </w:rPr>
        <w:t xml:space="preserve">Comité inzake economische, sociale en culturele rechten, </w:t>
      </w:r>
      <w:r w:rsidR="00F95F1D" w:rsidRPr="00154A96">
        <w:rPr>
          <w:lang w:val="nl-NL"/>
        </w:rPr>
        <w:t>algemene commentaar</w:t>
      </w:r>
      <w:r w:rsidRPr="00154A96">
        <w:rPr>
          <w:lang w:val="nl-NL"/>
        </w:rPr>
        <w:t xml:space="preserve"> nr. </w:t>
      </w:r>
      <w:r w:rsidR="00BA4D52" w:rsidRPr="00154A96">
        <w:rPr>
          <w:lang w:val="nl-NL"/>
        </w:rPr>
        <w:t xml:space="preserve">18 </w:t>
      </w:r>
      <w:r w:rsidRPr="00154A96">
        <w:rPr>
          <w:lang w:val="nl-NL"/>
        </w:rPr>
        <w:t>(</w:t>
      </w:r>
      <w:r w:rsidR="00BA4D52" w:rsidRPr="00154A96">
        <w:rPr>
          <w:lang w:val="nl-NL"/>
        </w:rPr>
        <w:t>2006</w:t>
      </w:r>
      <w:r w:rsidRPr="00154A96">
        <w:rPr>
          <w:lang w:val="nl-NL"/>
        </w:rPr>
        <w:t xml:space="preserve">), par. </w:t>
      </w:r>
      <w:bookmarkEnd w:id="33"/>
      <w:r w:rsidRPr="00154A96">
        <w:rPr>
          <w:lang w:val="nl-NL"/>
        </w:rPr>
        <w:t>31</w:t>
      </w:r>
    </w:p>
  </w:footnote>
  <w:footnote w:id="55">
    <w:p w14:paraId="1429BFF7" w14:textId="49FD3D6C" w:rsidR="00F6202B" w:rsidRPr="00154A96" w:rsidRDefault="002755DB">
      <w:pPr>
        <w:pStyle w:val="Voetnoottekst"/>
        <w:rPr>
          <w:lang w:val="nl-NL"/>
        </w:rPr>
      </w:pPr>
      <w:r w:rsidRPr="00154A96">
        <w:rPr>
          <w:lang w:val="nl-NL"/>
        </w:rPr>
        <w:tab/>
      </w:r>
      <w:r w:rsidRPr="00154A96">
        <w:rPr>
          <w:rStyle w:val="Voetnootmarkering"/>
          <w:lang w:val="nl-NL"/>
        </w:rPr>
        <w:footnoteRef/>
      </w:r>
      <w:r w:rsidRPr="00154A96">
        <w:rPr>
          <w:lang w:val="nl-NL"/>
        </w:rPr>
        <w:tab/>
        <w:t xml:space="preserve">Comité voor de rechten van personen met een handicap, </w:t>
      </w:r>
      <w:r w:rsidR="00F95F1D" w:rsidRPr="00154A96">
        <w:rPr>
          <w:lang w:val="nl-NL"/>
        </w:rPr>
        <w:t>algemene commentaar</w:t>
      </w:r>
      <w:r w:rsidRPr="00154A96">
        <w:rPr>
          <w:lang w:val="nl-NL"/>
        </w:rPr>
        <w:t xml:space="preserve"> nr. 6 (2018), </w:t>
      </w:r>
      <w:r w:rsidR="00974625" w:rsidRPr="00154A96">
        <w:rPr>
          <w:lang w:val="nl-NL"/>
        </w:rPr>
        <w:t>par.</w:t>
      </w:r>
      <w:r w:rsidRPr="00154A96">
        <w:rPr>
          <w:lang w:val="nl-NL"/>
        </w:rPr>
        <w:t xml:space="preserve"> 67.</w:t>
      </w:r>
    </w:p>
  </w:footnote>
  <w:footnote w:id="56">
    <w:p w14:paraId="20B622E6" w14:textId="53DE5F70" w:rsidR="00F6202B" w:rsidRPr="00154A96" w:rsidRDefault="002755DB">
      <w:pPr>
        <w:pStyle w:val="Voetnoottekst"/>
        <w:rPr>
          <w:lang w:val="nl-NL"/>
        </w:rPr>
      </w:pPr>
      <w:r w:rsidRPr="00154A96">
        <w:rPr>
          <w:lang w:val="nl-NL"/>
        </w:rPr>
        <w:tab/>
      </w:r>
      <w:r w:rsidRPr="00154A96">
        <w:rPr>
          <w:rStyle w:val="Voetnootmarkering"/>
          <w:lang w:val="nl-NL"/>
        </w:rPr>
        <w:footnoteRef/>
      </w:r>
      <w:r w:rsidRPr="00154A96">
        <w:rPr>
          <w:lang w:val="nl-NL"/>
        </w:rPr>
        <w:tab/>
        <w:t xml:space="preserve"> Comité voor economische, sociale en culturele rechten, </w:t>
      </w:r>
      <w:r w:rsidR="00F95F1D" w:rsidRPr="00154A96">
        <w:rPr>
          <w:lang w:val="nl-NL"/>
        </w:rPr>
        <w:t>algemene commentaar</w:t>
      </w:r>
      <w:r w:rsidRPr="00154A96">
        <w:rPr>
          <w:lang w:val="nl-NL"/>
        </w:rPr>
        <w:t xml:space="preserve"> nr. 23 (2016), </w:t>
      </w:r>
      <w:r w:rsidR="00974625" w:rsidRPr="00154A96">
        <w:rPr>
          <w:lang w:val="nl-NL"/>
        </w:rPr>
        <w:t>par.</w:t>
      </w:r>
      <w:r w:rsidRPr="00154A96">
        <w:rPr>
          <w:lang w:val="nl-NL"/>
        </w:rPr>
        <w:t xml:space="preserve"> 65.</w:t>
      </w:r>
    </w:p>
  </w:footnote>
  <w:footnote w:id="57">
    <w:p w14:paraId="0665A5EE" w14:textId="41BDBCF0" w:rsidR="00F6202B" w:rsidRPr="00154A96" w:rsidRDefault="002755DB">
      <w:pPr>
        <w:pStyle w:val="Voetnoottekst"/>
        <w:rPr>
          <w:szCs w:val="18"/>
          <w:lang w:val="nl-NL"/>
        </w:rPr>
      </w:pPr>
      <w:r w:rsidRPr="00154A96">
        <w:rPr>
          <w:szCs w:val="18"/>
          <w:lang w:val="nl-NL"/>
        </w:rPr>
        <w:tab/>
      </w:r>
      <w:r w:rsidRPr="00154A96">
        <w:rPr>
          <w:rStyle w:val="Voetnootmarkering"/>
          <w:lang w:val="nl-NL"/>
        </w:rPr>
        <w:footnoteRef/>
      </w:r>
      <w:r w:rsidRPr="00154A96">
        <w:rPr>
          <w:szCs w:val="18"/>
          <w:lang w:val="nl-NL"/>
        </w:rPr>
        <w:tab/>
        <w:t xml:space="preserve">Comité voor de rechten van personen met een handicap, </w:t>
      </w:r>
      <w:r w:rsidR="00F95F1D" w:rsidRPr="00154A96">
        <w:rPr>
          <w:szCs w:val="18"/>
          <w:lang w:val="nl-NL"/>
        </w:rPr>
        <w:t>algemene commentaar</w:t>
      </w:r>
      <w:r w:rsidRPr="00154A96">
        <w:rPr>
          <w:szCs w:val="18"/>
          <w:lang w:val="nl-NL"/>
        </w:rPr>
        <w:t xml:space="preserve"> nr. 3 (2016), </w:t>
      </w:r>
      <w:r w:rsidR="00974625" w:rsidRPr="00154A96">
        <w:rPr>
          <w:szCs w:val="18"/>
          <w:lang w:val="nl-NL"/>
        </w:rPr>
        <w:t>par.</w:t>
      </w:r>
      <w:r w:rsidRPr="00154A96">
        <w:rPr>
          <w:szCs w:val="18"/>
          <w:lang w:val="nl-NL"/>
        </w:rPr>
        <w:t xml:space="preserve"> 58.</w:t>
      </w:r>
    </w:p>
  </w:footnote>
  <w:footnote w:id="58">
    <w:p w14:paraId="049B3CCF" w14:textId="5A3C6B85" w:rsidR="00F6202B" w:rsidRPr="00154A96" w:rsidRDefault="002755DB">
      <w:pPr>
        <w:pStyle w:val="Voetnoottekst"/>
        <w:rPr>
          <w:lang w:val="nl-NL"/>
        </w:rPr>
      </w:pPr>
      <w:r w:rsidRPr="00154A96">
        <w:rPr>
          <w:lang w:val="nl-NL"/>
        </w:rPr>
        <w:tab/>
      </w:r>
      <w:r w:rsidRPr="00154A96">
        <w:rPr>
          <w:rStyle w:val="Voetnootmarkering"/>
          <w:lang w:val="nl-NL"/>
        </w:rPr>
        <w:footnoteRef/>
      </w:r>
      <w:r w:rsidRPr="00154A96">
        <w:rPr>
          <w:lang w:val="nl-NL"/>
        </w:rPr>
        <w:tab/>
        <w:t xml:space="preserve"> Comité voor de rechten van het kind, </w:t>
      </w:r>
      <w:r w:rsidR="00F95F1D" w:rsidRPr="00154A96">
        <w:rPr>
          <w:lang w:val="nl-NL"/>
        </w:rPr>
        <w:t>algemene commentaar</w:t>
      </w:r>
      <w:r w:rsidRPr="00154A96">
        <w:rPr>
          <w:lang w:val="nl-NL"/>
        </w:rPr>
        <w:t xml:space="preserve"> nr. 17 (2013) par. 29.</w:t>
      </w:r>
    </w:p>
  </w:footnote>
  <w:footnote w:id="59">
    <w:p w14:paraId="52787E28" w14:textId="328E5074" w:rsidR="00F6202B" w:rsidRPr="00154A96" w:rsidRDefault="002755DB">
      <w:pPr>
        <w:pStyle w:val="Voetnoottekst"/>
        <w:rPr>
          <w:szCs w:val="18"/>
          <w:lang w:val="nl-NL"/>
        </w:rPr>
      </w:pPr>
      <w:r w:rsidRPr="00154A96">
        <w:rPr>
          <w:szCs w:val="18"/>
          <w:lang w:val="nl-NL"/>
        </w:rPr>
        <w:tab/>
      </w:r>
      <w:r w:rsidRPr="00154A96">
        <w:rPr>
          <w:rStyle w:val="Voetnootmarkering"/>
          <w:lang w:val="nl-NL"/>
        </w:rPr>
        <w:footnoteRef/>
      </w:r>
      <w:r w:rsidRPr="00154A96">
        <w:rPr>
          <w:szCs w:val="18"/>
          <w:lang w:val="nl-NL"/>
        </w:rPr>
        <w:tab/>
        <w:t xml:space="preserve">Comité voor de rechten van personen met een handicap, </w:t>
      </w:r>
      <w:r w:rsidR="00F95F1D" w:rsidRPr="00154A96">
        <w:rPr>
          <w:szCs w:val="18"/>
          <w:lang w:val="nl-NL"/>
        </w:rPr>
        <w:t>algemene commentaar</w:t>
      </w:r>
      <w:r w:rsidRPr="00154A96">
        <w:rPr>
          <w:szCs w:val="18"/>
          <w:lang w:val="nl-NL"/>
        </w:rPr>
        <w:t xml:space="preserve"> nr. 2 (2014), </w:t>
      </w:r>
      <w:r w:rsidR="00974625" w:rsidRPr="00154A96">
        <w:rPr>
          <w:szCs w:val="18"/>
          <w:lang w:val="nl-NL"/>
        </w:rPr>
        <w:t>par.</w:t>
      </w:r>
      <w:r w:rsidRPr="00154A96">
        <w:rPr>
          <w:szCs w:val="18"/>
          <w:lang w:val="nl-NL"/>
        </w:rPr>
        <w:t xml:space="preserve"> 41.</w:t>
      </w:r>
    </w:p>
  </w:footnote>
  <w:footnote w:id="60">
    <w:p w14:paraId="738C9DC5" w14:textId="52DC5407" w:rsidR="00F6202B" w:rsidRPr="00154A96" w:rsidRDefault="002755DB">
      <w:pPr>
        <w:pStyle w:val="Voetnoottekst"/>
        <w:rPr>
          <w:szCs w:val="18"/>
          <w:lang w:val="nl-NL"/>
        </w:rPr>
      </w:pPr>
      <w:r w:rsidRPr="00154A96">
        <w:rPr>
          <w:szCs w:val="18"/>
          <w:lang w:val="nl-NL"/>
        </w:rPr>
        <w:tab/>
      </w:r>
      <w:r w:rsidRPr="00154A96">
        <w:rPr>
          <w:rStyle w:val="Voetnootmarkering"/>
          <w:lang w:val="nl-NL"/>
        </w:rPr>
        <w:footnoteRef/>
      </w:r>
      <w:r w:rsidRPr="00154A96">
        <w:rPr>
          <w:szCs w:val="18"/>
          <w:lang w:val="nl-NL"/>
        </w:rPr>
        <w:tab/>
      </w:r>
      <w:bookmarkStart w:id="35" w:name="_Hlk104123116"/>
      <w:r w:rsidRPr="00154A96">
        <w:rPr>
          <w:szCs w:val="18"/>
          <w:lang w:val="nl-NL"/>
        </w:rPr>
        <w:t xml:space="preserve">Comité voor de rechten van personen met een handicap, </w:t>
      </w:r>
      <w:r w:rsidR="00F95F1D" w:rsidRPr="00154A96">
        <w:rPr>
          <w:szCs w:val="18"/>
          <w:lang w:val="nl-NL"/>
        </w:rPr>
        <w:t>algemene commentaar</w:t>
      </w:r>
      <w:r w:rsidRPr="00154A96">
        <w:rPr>
          <w:szCs w:val="18"/>
          <w:lang w:val="nl-NL"/>
        </w:rPr>
        <w:t xml:space="preserve"> nr. 1 (2014).</w:t>
      </w:r>
      <w:bookmarkEnd w:id="35"/>
    </w:p>
  </w:footnote>
  <w:footnote w:id="61">
    <w:p w14:paraId="748D7537" w14:textId="6535686C" w:rsidR="00F6202B" w:rsidRPr="00154A96" w:rsidRDefault="002755DB">
      <w:pPr>
        <w:pStyle w:val="Voetnoottekst"/>
        <w:rPr>
          <w:lang w:val="nl-NL"/>
        </w:rPr>
      </w:pPr>
      <w:r w:rsidRPr="00154A96">
        <w:rPr>
          <w:lang w:val="nl-NL"/>
        </w:rPr>
        <w:tab/>
      </w:r>
      <w:r w:rsidRPr="00154A96">
        <w:rPr>
          <w:rStyle w:val="Voetnootmarkering"/>
          <w:lang w:val="nl-NL"/>
        </w:rPr>
        <w:footnoteRef/>
      </w:r>
      <w:r w:rsidRPr="00154A96">
        <w:rPr>
          <w:lang w:val="nl-NL"/>
        </w:rPr>
        <w:tab/>
        <w:t xml:space="preserve"> Comité voor de rechten van het kind, </w:t>
      </w:r>
      <w:r w:rsidR="00F95F1D" w:rsidRPr="00154A96">
        <w:rPr>
          <w:lang w:val="nl-NL"/>
        </w:rPr>
        <w:t>algemene commentaar</w:t>
      </w:r>
      <w:r w:rsidRPr="00154A96">
        <w:rPr>
          <w:lang w:val="nl-NL"/>
        </w:rPr>
        <w:t xml:space="preserve"> nr. 9 (2006), </w:t>
      </w:r>
      <w:r w:rsidR="00974625" w:rsidRPr="00154A96">
        <w:rPr>
          <w:lang w:val="nl-NL"/>
        </w:rPr>
        <w:t>par.</w:t>
      </w:r>
      <w:r w:rsidRPr="00154A96">
        <w:rPr>
          <w:lang w:val="nl-NL"/>
        </w:rPr>
        <w:t xml:space="preserve"> 75.</w:t>
      </w:r>
    </w:p>
  </w:footnote>
  <w:footnote w:id="62">
    <w:p w14:paraId="71D6B97C" w14:textId="4365F805" w:rsidR="00F6202B" w:rsidRPr="00154A96" w:rsidRDefault="002755DB">
      <w:pPr>
        <w:pStyle w:val="Voetnoottekst"/>
        <w:rPr>
          <w:szCs w:val="18"/>
          <w:lang w:val="nl-NL"/>
        </w:rPr>
      </w:pPr>
      <w:r w:rsidRPr="00154A96">
        <w:rPr>
          <w:szCs w:val="18"/>
          <w:lang w:val="nl-NL"/>
        </w:rPr>
        <w:tab/>
      </w:r>
      <w:r w:rsidRPr="00154A96">
        <w:rPr>
          <w:rStyle w:val="Voetnootmarkering"/>
          <w:lang w:val="nl-NL"/>
        </w:rPr>
        <w:footnoteRef/>
      </w:r>
      <w:r w:rsidRPr="00154A96">
        <w:rPr>
          <w:szCs w:val="18"/>
          <w:lang w:val="nl-NL"/>
        </w:rPr>
        <w:tab/>
        <w:t xml:space="preserve">Comité voor de rechten van personen met een handicap, </w:t>
      </w:r>
      <w:r w:rsidR="00F95F1D" w:rsidRPr="00154A96">
        <w:rPr>
          <w:szCs w:val="18"/>
          <w:lang w:val="nl-NL"/>
        </w:rPr>
        <w:t>algemene commentaar</w:t>
      </w:r>
      <w:r w:rsidRPr="00154A96">
        <w:rPr>
          <w:szCs w:val="18"/>
          <w:lang w:val="nl-NL"/>
        </w:rPr>
        <w:t xml:space="preserve"> nr. 4 (2016)</w:t>
      </w:r>
      <w:r w:rsidR="00CA6887" w:rsidRPr="00154A96">
        <w:rPr>
          <w:szCs w:val="18"/>
          <w:lang w:val="nl-NL"/>
        </w:rPr>
        <w:t xml:space="preserve">, </w:t>
      </w:r>
      <w:r w:rsidR="00974625" w:rsidRPr="00154A96">
        <w:rPr>
          <w:szCs w:val="18"/>
          <w:lang w:val="nl-NL"/>
        </w:rPr>
        <w:t>par.</w:t>
      </w:r>
      <w:r w:rsidR="00CA6887" w:rsidRPr="00154A96">
        <w:rPr>
          <w:szCs w:val="18"/>
          <w:lang w:val="nl-NL"/>
        </w:rPr>
        <w:t xml:space="preserve"> 56</w:t>
      </w:r>
      <w:r w:rsidRPr="00154A96">
        <w:rPr>
          <w:szCs w:val="18"/>
          <w:lang w:val="nl-NL"/>
        </w:rPr>
        <w:t>.</w:t>
      </w:r>
    </w:p>
  </w:footnote>
  <w:footnote w:id="63">
    <w:p w14:paraId="5596C9A6" w14:textId="767893FA" w:rsidR="00F6202B" w:rsidRPr="00154A96" w:rsidRDefault="002755DB">
      <w:pPr>
        <w:pStyle w:val="Voetnoottekst"/>
        <w:rPr>
          <w:lang w:val="nl-NL"/>
        </w:rPr>
      </w:pPr>
      <w:r w:rsidRPr="00154A96">
        <w:rPr>
          <w:lang w:val="nl-NL"/>
        </w:rPr>
        <w:tab/>
      </w:r>
      <w:r w:rsidRPr="00154A96">
        <w:rPr>
          <w:rStyle w:val="Voetnootmarkering"/>
          <w:lang w:val="nl-NL"/>
        </w:rPr>
        <w:footnoteRef/>
      </w:r>
      <w:r w:rsidRPr="00154A96">
        <w:rPr>
          <w:lang w:val="nl-NL"/>
        </w:rPr>
        <w:tab/>
        <w:t xml:space="preserve"> Comité inzake de uitbanning van discriminatie van vrouwen, Algemene aanbeveling nr. 36 (2017), </w:t>
      </w:r>
      <w:r w:rsidR="00974625" w:rsidRPr="00154A96">
        <w:rPr>
          <w:lang w:val="nl-NL"/>
        </w:rPr>
        <w:t>par.</w:t>
      </w:r>
      <w:r w:rsidRPr="00154A96">
        <w:rPr>
          <w:lang w:val="nl-NL"/>
        </w:rPr>
        <w:t xml:space="preserve"> 43</w:t>
      </w:r>
      <w:r w:rsidR="00974625" w:rsidRPr="00154A96">
        <w:rPr>
          <w:lang w:val="nl-NL"/>
        </w:rPr>
        <w:t xml:space="preserve"> en 44</w:t>
      </w:r>
      <w:r w:rsidRPr="00154A96">
        <w:rPr>
          <w:lang w:val="nl-NL"/>
        </w:rPr>
        <w:t>.</w:t>
      </w:r>
    </w:p>
  </w:footnote>
  <w:footnote w:id="64">
    <w:p w14:paraId="101A29DF" w14:textId="164947E8" w:rsidR="00F6202B" w:rsidRPr="00154A96" w:rsidRDefault="002755DB">
      <w:pPr>
        <w:pStyle w:val="Voetnoottekst"/>
        <w:rPr>
          <w:lang w:val="nl-NL"/>
        </w:rPr>
      </w:pPr>
      <w:r w:rsidRPr="00154A96">
        <w:rPr>
          <w:lang w:val="nl-NL"/>
        </w:rPr>
        <w:tab/>
      </w:r>
      <w:r w:rsidRPr="00154A96">
        <w:rPr>
          <w:rStyle w:val="Voetnootmarkering"/>
          <w:lang w:val="nl-NL"/>
        </w:rPr>
        <w:footnoteRef/>
      </w:r>
      <w:r w:rsidRPr="00154A96">
        <w:rPr>
          <w:lang w:val="nl-NL"/>
        </w:rPr>
        <w:tab/>
        <w:t xml:space="preserve"> Comité voor economische, sociale en culturele rechten, </w:t>
      </w:r>
      <w:r w:rsidR="00F95F1D" w:rsidRPr="00154A96">
        <w:rPr>
          <w:lang w:val="nl-NL"/>
        </w:rPr>
        <w:t>algemene commentaar</w:t>
      </w:r>
      <w:r w:rsidRPr="00154A96">
        <w:rPr>
          <w:lang w:val="nl-NL"/>
        </w:rPr>
        <w:t xml:space="preserve"> nr. 18 (2006), par. 37</w:t>
      </w:r>
    </w:p>
  </w:footnote>
  <w:footnote w:id="65">
    <w:p w14:paraId="56C5171E" w14:textId="19BDD5E0" w:rsidR="00F6202B" w:rsidRPr="00154A96" w:rsidRDefault="002755DB">
      <w:pPr>
        <w:pStyle w:val="Voetnoottekst"/>
        <w:rPr>
          <w:lang w:val="nl-NL"/>
        </w:rPr>
      </w:pPr>
      <w:r w:rsidRPr="00154A96">
        <w:rPr>
          <w:lang w:val="nl-NL"/>
        </w:rPr>
        <w:tab/>
      </w:r>
      <w:r w:rsidRPr="00154A96">
        <w:rPr>
          <w:rStyle w:val="Voetnootmarkering"/>
          <w:lang w:val="nl-NL"/>
        </w:rPr>
        <w:footnoteRef/>
      </w:r>
      <w:r w:rsidRPr="00154A96">
        <w:rPr>
          <w:lang w:val="nl-NL"/>
        </w:rPr>
        <w:tab/>
        <w:t xml:space="preserve"> Comité voor economische, sociale en culturele rechten,</w:t>
      </w:r>
      <w:bookmarkStart w:id="39" w:name="_Hlk104551354"/>
      <w:r w:rsidRPr="00154A96">
        <w:rPr>
          <w:lang w:val="nl-NL"/>
        </w:rPr>
        <w:t xml:space="preserve"> </w:t>
      </w:r>
      <w:r w:rsidR="00F95F1D" w:rsidRPr="00154A96">
        <w:rPr>
          <w:lang w:val="nl-NL"/>
        </w:rPr>
        <w:t>algemene commentaar</w:t>
      </w:r>
      <w:r w:rsidRPr="00154A96">
        <w:rPr>
          <w:lang w:val="nl-NL"/>
        </w:rPr>
        <w:t xml:space="preserve"> nr. 5 (</w:t>
      </w:r>
      <w:r w:rsidR="00293CB6" w:rsidRPr="00154A96">
        <w:rPr>
          <w:lang w:val="nl-NL"/>
        </w:rPr>
        <w:t>1994)</w:t>
      </w:r>
      <w:r w:rsidRPr="00154A96">
        <w:rPr>
          <w:lang w:val="nl-NL"/>
        </w:rPr>
        <w:t>, punt 28.</w:t>
      </w:r>
      <w:bookmarkEnd w:id="39"/>
    </w:p>
  </w:footnote>
  <w:footnote w:id="66">
    <w:p w14:paraId="426C0EDF" w14:textId="5B662D01" w:rsidR="00A20016" w:rsidRPr="00301F00" w:rsidRDefault="00A20016" w:rsidP="00A20016">
      <w:pPr>
        <w:pStyle w:val="Voetnoottekst"/>
        <w:rPr>
          <w:lang w:val="fr-BE"/>
        </w:rPr>
      </w:pPr>
      <w:r w:rsidRPr="00154A96">
        <w:rPr>
          <w:lang w:val="nl-NL"/>
        </w:rPr>
        <w:tab/>
      </w:r>
      <w:r w:rsidRPr="00154A96">
        <w:rPr>
          <w:rStyle w:val="Voetnootmarkering"/>
          <w:lang w:val="nl-NL"/>
        </w:rPr>
        <w:footnoteRef/>
      </w:r>
      <w:r w:rsidRPr="00301F00">
        <w:rPr>
          <w:lang w:val="fr-BE"/>
        </w:rPr>
        <w:tab/>
      </w:r>
      <w:hyperlink r:id="rId1" w:history="1">
        <w:r w:rsidRPr="00301F00">
          <w:rPr>
            <w:rStyle w:val="Hyperlink"/>
            <w:lang w:val="fr-BE"/>
          </w:rPr>
          <w:t>CRPD/C/15/4</w:t>
        </w:r>
      </w:hyperlink>
      <w:r w:rsidRPr="00301F00">
        <w:rPr>
          <w:lang w:val="fr-BE"/>
        </w:rPr>
        <w:t xml:space="preserve"> en </w:t>
      </w:r>
      <w:hyperlink r:id="rId2" w:history="1">
        <w:r w:rsidRPr="00301F00">
          <w:rPr>
            <w:rStyle w:val="Hyperlink"/>
            <w:lang w:val="fr-BE"/>
          </w:rPr>
          <w:t>CRPD/C/15/4/Corr.1</w:t>
        </w:r>
      </w:hyperlink>
      <w:r w:rsidRPr="00301F00">
        <w:rPr>
          <w:lang w:val="fr-BE"/>
        </w:rPr>
        <w:t>, p</w:t>
      </w:r>
      <w:r w:rsidR="00974625" w:rsidRPr="00301F00">
        <w:rPr>
          <w:lang w:val="fr-BE"/>
        </w:rPr>
        <w:t>ar.</w:t>
      </w:r>
      <w:r w:rsidRPr="00301F00">
        <w:rPr>
          <w:lang w:val="fr-BE"/>
        </w:rPr>
        <w:t xml:space="preserve"> 102.</w:t>
      </w:r>
    </w:p>
  </w:footnote>
  <w:footnote w:id="67">
    <w:p w14:paraId="516AF25F" w14:textId="06E60235" w:rsidR="00F6202B" w:rsidRPr="00154A96" w:rsidRDefault="002755DB">
      <w:pPr>
        <w:pStyle w:val="Voetnoottekst"/>
        <w:rPr>
          <w:lang w:val="nl-NL"/>
        </w:rPr>
      </w:pPr>
      <w:r w:rsidRPr="00301F00">
        <w:rPr>
          <w:lang w:val="fr-BE"/>
        </w:rPr>
        <w:tab/>
      </w:r>
      <w:r w:rsidRPr="00154A96">
        <w:rPr>
          <w:rStyle w:val="Voetnootmarkering"/>
          <w:lang w:val="nl-NL"/>
        </w:rPr>
        <w:footnoteRef/>
      </w:r>
      <w:r w:rsidRPr="00154A96">
        <w:rPr>
          <w:lang w:val="nl-NL"/>
        </w:rPr>
        <w:tab/>
        <w:t xml:space="preserve"> Comité voor economische, sociale en culturele rechten, </w:t>
      </w:r>
      <w:r w:rsidR="00F95F1D" w:rsidRPr="00154A96">
        <w:rPr>
          <w:lang w:val="nl-NL"/>
        </w:rPr>
        <w:t>algemene commentaar</w:t>
      </w:r>
      <w:r w:rsidRPr="00154A96">
        <w:rPr>
          <w:lang w:val="nl-NL"/>
        </w:rPr>
        <w:t xml:space="preserve"> nr. 18 (2006), </w:t>
      </w:r>
      <w:r w:rsidR="00974625" w:rsidRPr="00154A96">
        <w:rPr>
          <w:lang w:val="nl-NL"/>
        </w:rPr>
        <w:t>par.</w:t>
      </w:r>
      <w:r w:rsidRPr="00154A96">
        <w:rPr>
          <w:lang w:val="nl-NL"/>
        </w:rPr>
        <w:t xml:space="preserve"> 39.</w:t>
      </w:r>
    </w:p>
  </w:footnote>
  <w:footnote w:id="68">
    <w:p w14:paraId="0EE10A2B" w14:textId="78B2C065" w:rsidR="00F6202B" w:rsidRPr="00154A96" w:rsidRDefault="002755DB">
      <w:pPr>
        <w:pStyle w:val="Voetnoottekst"/>
        <w:rPr>
          <w:lang w:val="nl-NL"/>
        </w:rPr>
      </w:pPr>
      <w:r w:rsidRPr="00154A96">
        <w:rPr>
          <w:lang w:val="nl-NL"/>
        </w:rPr>
        <w:tab/>
      </w:r>
      <w:r w:rsidRPr="00154A96">
        <w:rPr>
          <w:rStyle w:val="Voetnootmarkering"/>
          <w:lang w:val="nl-NL"/>
        </w:rPr>
        <w:footnoteRef/>
      </w:r>
      <w:r w:rsidRPr="00154A96">
        <w:rPr>
          <w:lang w:val="nl-NL"/>
        </w:rPr>
        <w:t xml:space="preserve"> </w:t>
      </w:r>
      <w:r w:rsidRPr="00154A96">
        <w:rPr>
          <w:lang w:val="nl-NL"/>
        </w:rPr>
        <w:tab/>
      </w:r>
      <w:r w:rsidR="009027BC" w:rsidRPr="00154A96">
        <w:rPr>
          <w:lang w:val="nl-NL"/>
        </w:rPr>
        <w:t xml:space="preserve">Comité voor de rechten van personen met een handicap, </w:t>
      </w:r>
      <w:r w:rsidR="00F95F1D" w:rsidRPr="00154A96">
        <w:rPr>
          <w:lang w:val="nl-NL"/>
        </w:rPr>
        <w:t>algemene commentaar</w:t>
      </w:r>
      <w:r w:rsidR="009027BC" w:rsidRPr="00154A96">
        <w:rPr>
          <w:lang w:val="nl-NL"/>
        </w:rPr>
        <w:t xml:space="preserve"> </w:t>
      </w:r>
      <w:r w:rsidR="006F3619" w:rsidRPr="00154A96">
        <w:rPr>
          <w:lang w:val="nl-NL"/>
        </w:rPr>
        <w:t xml:space="preserve">nr. 7 </w:t>
      </w:r>
      <w:r w:rsidR="004D351E" w:rsidRPr="00154A96">
        <w:rPr>
          <w:lang w:val="nl-NL"/>
        </w:rPr>
        <w:t>(</w:t>
      </w:r>
      <w:r w:rsidR="009027BC" w:rsidRPr="00154A96">
        <w:rPr>
          <w:lang w:val="nl-NL"/>
        </w:rPr>
        <w:t>2018)</w:t>
      </w:r>
      <w:r w:rsidR="006F3619" w:rsidRPr="00154A96">
        <w:rPr>
          <w:lang w:val="nl-NL"/>
        </w:rPr>
        <w:t xml:space="preserve">; </w:t>
      </w:r>
      <w:r w:rsidRPr="00154A96">
        <w:rPr>
          <w:lang w:val="nl-NL"/>
        </w:rPr>
        <w:t xml:space="preserve">Comité voor economische, sociale en culturele rechten, </w:t>
      </w:r>
      <w:r w:rsidR="00F95F1D" w:rsidRPr="00154A96">
        <w:rPr>
          <w:lang w:val="nl-NL"/>
        </w:rPr>
        <w:t>algemene commentaar</w:t>
      </w:r>
      <w:r w:rsidRPr="00154A96">
        <w:rPr>
          <w:lang w:val="nl-NL"/>
        </w:rPr>
        <w:t xml:space="preserve"> nr. 5 (1994), par. 26</w:t>
      </w:r>
      <w:r w:rsidR="009873E7" w:rsidRPr="00154A96">
        <w:rPr>
          <w:lang w:val="nl-NL"/>
        </w:rPr>
        <w:t>.</w:t>
      </w:r>
    </w:p>
  </w:footnote>
  <w:footnote w:id="69">
    <w:p w14:paraId="6A4FDD6C" w14:textId="77777777" w:rsidR="00F6202B" w:rsidRPr="00301F00" w:rsidRDefault="002755DB">
      <w:pPr>
        <w:pStyle w:val="Voetnoottekst"/>
        <w:rPr>
          <w:lang w:val="en-US"/>
        </w:rPr>
      </w:pPr>
      <w:r w:rsidRPr="00154A96">
        <w:rPr>
          <w:lang w:val="nl-NL"/>
        </w:rPr>
        <w:tab/>
      </w:r>
      <w:r w:rsidRPr="00154A96">
        <w:rPr>
          <w:rStyle w:val="Voetnootmarkering"/>
          <w:lang w:val="nl-NL"/>
        </w:rPr>
        <w:footnoteRef/>
      </w:r>
      <w:r w:rsidRPr="00301F00">
        <w:rPr>
          <w:lang w:val="en-US"/>
        </w:rPr>
        <w:tab/>
        <w:t xml:space="preserve">CRPD/C/DNK/CO/1, par. 19. </w:t>
      </w:r>
    </w:p>
  </w:footnote>
  <w:footnote w:id="70">
    <w:p w14:paraId="14EE7538" w14:textId="22F0785C" w:rsidR="00F6202B" w:rsidRPr="00154A96" w:rsidRDefault="002755DB">
      <w:pPr>
        <w:pStyle w:val="Voetnoottekst"/>
        <w:rPr>
          <w:szCs w:val="18"/>
          <w:lang w:val="nl-NL"/>
        </w:rPr>
      </w:pPr>
      <w:r w:rsidRPr="00301F00">
        <w:rPr>
          <w:szCs w:val="18"/>
          <w:lang w:val="en-US"/>
        </w:rPr>
        <w:tab/>
      </w:r>
      <w:r w:rsidRPr="00154A96">
        <w:rPr>
          <w:rStyle w:val="Voetnootmarkering"/>
          <w:lang w:val="nl-NL"/>
        </w:rPr>
        <w:footnoteRef/>
      </w:r>
      <w:r w:rsidRPr="00154A96">
        <w:rPr>
          <w:szCs w:val="18"/>
          <w:lang w:val="nl-NL"/>
        </w:rPr>
        <w:tab/>
      </w:r>
      <w:r w:rsidR="00154A96" w:rsidRPr="00154A96">
        <w:rPr>
          <w:szCs w:val="18"/>
          <w:lang w:val="nl-NL"/>
        </w:rPr>
        <w:t>Hoog Commissariaat voor de Mensenrechten van de Verenigde Naties (Genève, 2012)</w:t>
      </w:r>
      <w:r w:rsidRPr="00154A96">
        <w:rPr>
          <w:szCs w:val="18"/>
          <w:lang w:val="nl-NL"/>
        </w:rPr>
        <w:t xml:space="preserve">. Zie ook CRPD/C/CZE/CO/1, </w:t>
      </w:r>
      <w:r w:rsidR="00974625" w:rsidRPr="00154A96">
        <w:rPr>
          <w:szCs w:val="18"/>
          <w:lang w:val="nl-NL"/>
        </w:rPr>
        <w:t>par.</w:t>
      </w:r>
      <w:r w:rsidRPr="00154A96">
        <w:rPr>
          <w:szCs w:val="18"/>
          <w:lang w:val="nl-NL"/>
        </w:rPr>
        <w:t xml:space="preserve"> 14</w:t>
      </w:r>
    </w:p>
  </w:footnote>
  <w:footnote w:id="71">
    <w:p w14:paraId="1B1397EC" w14:textId="6E8FC582" w:rsidR="00F6202B" w:rsidRPr="00154A96" w:rsidRDefault="002755DB">
      <w:pPr>
        <w:pStyle w:val="Voetnoottekst"/>
        <w:rPr>
          <w:lang w:val="nl-NL"/>
        </w:rPr>
      </w:pPr>
      <w:r w:rsidRPr="00154A96">
        <w:rPr>
          <w:lang w:val="nl-NL"/>
        </w:rPr>
        <w:tab/>
      </w:r>
      <w:r w:rsidRPr="00154A96">
        <w:rPr>
          <w:rStyle w:val="Voetnootmarkering"/>
          <w:lang w:val="nl-NL"/>
        </w:rPr>
        <w:footnoteRef/>
      </w:r>
      <w:r w:rsidR="000025E1" w:rsidRPr="00154A96">
        <w:rPr>
          <w:lang w:val="nl-NL"/>
        </w:rPr>
        <w:tab/>
      </w:r>
      <w:r w:rsidRPr="00154A96">
        <w:rPr>
          <w:lang w:val="nl-NL"/>
        </w:rPr>
        <w:t xml:space="preserve">CRPD/C/DNK/CO/1, </w:t>
      </w:r>
      <w:r w:rsidR="00974625" w:rsidRPr="00154A96">
        <w:rPr>
          <w:lang w:val="nl-NL"/>
        </w:rPr>
        <w:t>par.</w:t>
      </w:r>
      <w:r w:rsidRPr="00154A96">
        <w:rPr>
          <w:lang w:val="nl-NL"/>
        </w:rPr>
        <w:t xml:space="preserve"> 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B83FD" w14:textId="77777777" w:rsidR="00F6202B" w:rsidRDefault="00100329">
    <w:pPr>
      <w:pStyle w:val="Koptekst"/>
    </w:pPr>
    <w:r>
      <w:t>CRPD/C/GC/8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78387" w14:textId="77777777" w:rsidR="00F6202B" w:rsidRDefault="00100329">
    <w:pPr>
      <w:pStyle w:val="Koptekst"/>
      <w:jc w:val="right"/>
    </w:pPr>
    <w:r>
      <w:t>CRPD/C/GC/8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8E2B5E"/>
    <w:multiLevelType w:val="hybridMultilevel"/>
    <w:tmpl w:val="D7A0D5E4"/>
    <w:lvl w:ilvl="0" w:tplc="47D407D6">
      <w:numFmt w:val="bullet"/>
      <w:lvlText w:val=""/>
      <w:lvlJc w:val="left"/>
      <w:pPr>
        <w:ind w:left="1380" w:hanging="102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F20DE"/>
    <w:multiLevelType w:val="hybridMultilevel"/>
    <w:tmpl w:val="3A42731E"/>
    <w:lvl w:ilvl="0" w:tplc="C63A1486">
      <w:start w:val="1"/>
      <w:numFmt w:val="lowerRoman"/>
      <w:lvlText w:val="(%1)"/>
      <w:lvlJc w:val="righ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0D8976D3"/>
    <w:multiLevelType w:val="hybridMultilevel"/>
    <w:tmpl w:val="8C96B98C"/>
    <w:lvl w:ilvl="0" w:tplc="C63A1486">
      <w:start w:val="1"/>
      <w:numFmt w:val="lowerRoman"/>
      <w:lvlText w:val="(%1)"/>
      <w:lvlJc w:val="righ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4" w15:restartNumberingAfterBreak="0">
    <w:nsid w:val="102C1EBB"/>
    <w:multiLevelType w:val="hybridMultilevel"/>
    <w:tmpl w:val="E62A7BEA"/>
    <w:lvl w:ilvl="0" w:tplc="D9A89244">
      <w:start w:val="8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FC3BDB"/>
    <w:multiLevelType w:val="hybridMultilevel"/>
    <w:tmpl w:val="26CE1992"/>
    <w:lvl w:ilvl="0" w:tplc="C63A1486">
      <w:start w:val="1"/>
      <w:numFmt w:val="lowerRoman"/>
      <w:lvlText w:val="(%1)"/>
      <w:lvlJc w:val="righ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26C33298"/>
    <w:multiLevelType w:val="hybridMultilevel"/>
    <w:tmpl w:val="4ECE8A7A"/>
    <w:lvl w:ilvl="0" w:tplc="C63A1486">
      <w:start w:val="1"/>
      <w:numFmt w:val="lowerRoman"/>
      <w:lvlText w:val="(%1)"/>
      <w:lvlJc w:val="righ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29C233AE"/>
    <w:multiLevelType w:val="hybridMultilevel"/>
    <w:tmpl w:val="CE6A4C16"/>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2A3267E0"/>
    <w:multiLevelType w:val="hybridMultilevel"/>
    <w:tmpl w:val="930CA588"/>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15:restartNumberingAfterBreak="0">
    <w:nsid w:val="2AE83315"/>
    <w:multiLevelType w:val="hybridMultilevel"/>
    <w:tmpl w:val="EF7ACE6C"/>
    <w:lvl w:ilvl="0" w:tplc="B0F4FC94">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1" w15:restartNumberingAfterBreak="0">
    <w:nsid w:val="2C2545E3"/>
    <w:multiLevelType w:val="multilevel"/>
    <w:tmpl w:val="D0FE21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C311F67"/>
    <w:multiLevelType w:val="hybridMultilevel"/>
    <w:tmpl w:val="09B849F6"/>
    <w:lvl w:ilvl="0" w:tplc="D2E4EA6A">
      <w:start w:val="1"/>
      <w:numFmt w:val="lowerRoman"/>
      <w:lvlText w:val="%1)"/>
      <w:lvlJc w:val="right"/>
      <w:pPr>
        <w:ind w:left="3224" w:hanging="360"/>
      </w:pPr>
      <w:rPr>
        <w:rFonts w:ascii="Times New Roman" w:eastAsia="SimSun" w:hAnsi="Times New Roman" w:cs="Times New Roman"/>
      </w:rPr>
    </w:lvl>
    <w:lvl w:ilvl="1" w:tplc="08090019">
      <w:start w:val="1"/>
      <w:numFmt w:val="lowerLetter"/>
      <w:lvlText w:val="%2."/>
      <w:lvlJc w:val="left"/>
      <w:pPr>
        <w:ind w:left="3944" w:hanging="360"/>
      </w:pPr>
    </w:lvl>
    <w:lvl w:ilvl="2" w:tplc="0809001B">
      <w:start w:val="1"/>
      <w:numFmt w:val="lowerRoman"/>
      <w:lvlText w:val="%3."/>
      <w:lvlJc w:val="right"/>
      <w:pPr>
        <w:ind w:left="4664" w:hanging="180"/>
      </w:pPr>
    </w:lvl>
    <w:lvl w:ilvl="3" w:tplc="0809000F">
      <w:start w:val="1"/>
      <w:numFmt w:val="decimal"/>
      <w:lvlText w:val="%4."/>
      <w:lvlJc w:val="left"/>
      <w:pPr>
        <w:ind w:left="5384" w:hanging="360"/>
      </w:pPr>
    </w:lvl>
    <w:lvl w:ilvl="4" w:tplc="08090019">
      <w:start w:val="1"/>
      <w:numFmt w:val="lowerLetter"/>
      <w:lvlText w:val="%5."/>
      <w:lvlJc w:val="left"/>
      <w:pPr>
        <w:ind w:left="6104" w:hanging="360"/>
      </w:pPr>
    </w:lvl>
    <w:lvl w:ilvl="5" w:tplc="0809001B">
      <w:start w:val="1"/>
      <w:numFmt w:val="lowerRoman"/>
      <w:lvlText w:val="%6."/>
      <w:lvlJc w:val="right"/>
      <w:pPr>
        <w:ind w:left="6824" w:hanging="180"/>
      </w:pPr>
    </w:lvl>
    <w:lvl w:ilvl="6" w:tplc="0809000F">
      <w:start w:val="1"/>
      <w:numFmt w:val="decimal"/>
      <w:lvlText w:val="%7."/>
      <w:lvlJc w:val="left"/>
      <w:pPr>
        <w:ind w:left="7544" w:hanging="360"/>
      </w:pPr>
    </w:lvl>
    <w:lvl w:ilvl="7" w:tplc="08090019">
      <w:start w:val="1"/>
      <w:numFmt w:val="lowerLetter"/>
      <w:lvlText w:val="%8."/>
      <w:lvlJc w:val="left"/>
      <w:pPr>
        <w:ind w:left="8264" w:hanging="360"/>
      </w:pPr>
    </w:lvl>
    <w:lvl w:ilvl="8" w:tplc="0809001B">
      <w:start w:val="1"/>
      <w:numFmt w:val="lowerRoman"/>
      <w:lvlText w:val="%9."/>
      <w:lvlJc w:val="right"/>
      <w:pPr>
        <w:ind w:left="8984" w:hanging="180"/>
      </w:pPr>
    </w:lvl>
  </w:abstractNum>
  <w:abstractNum w:abstractNumId="1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71734E"/>
    <w:multiLevelType w:val="hybridMultilevel"/>
    <w:tmpl w:val="6D12BDDC"/>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3E1A2B4E"/>
    <w:multiLevelType w:val="hybridMultilevel"/>
    <w:tmpl w:val="20CCA952"/>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401C3344"/>
    <w:multiLevelType w:val="hybridMultilevel"/>
    <w:tmpl w:val="E674736E"/>
    <w:lvl w:ilvl="0" w:tplc="DBEA322A">
      <w:start w:val="1"/>
      <w:numFmt w:val="lowerLetter"/>
      <w:lvlText w:val="(%1)"/>
      <w:lvlJc w:val="left"/>
      <w:pPr>
        <w:ind w:left="2061" w:hanging="36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7" w15:restartNumberingAfterBreak="0">
    <w:nsid w:val="5283454C"/>
    <w:multiLevelType w:val="hybridMultilevel"/>
    <w:tmpl w:val="56B848AA"/>
    <w:lvl w:ilvl="0" w:tplc="C63A1486">
      <w:start w:val="1"/>
      <w:numFmt w:val="lowerRoman"/>
      <w:lvlText w:val="(%1)"/>
      <w:lvlJc w:val="righ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52A83FFC"/>
    <w:multiLevelType w:val="hybridMultilevel"/>
    <w:tmpl w:val="CCC4EF9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54C12D88"/>
    <w:multiLevelType w:val="hybridMultilevel"/>
    <w:tmpl w:val="04C2D26E"/>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578004BB"/>
    <w:multiLevelType w:val="hybridMultilevel"/>
    <w:tmpl w:val="56B848AA"/>
    <w:lvl w:ilvl="0" w:tplc="C63A1486">
      <w:start w:val="1"/>
      <w:numFmt w:val="lowerRoman"/>
      <w:lvlText w:val="(%1)"/>
      <w:lvlJc w:val="righ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581E3788"/>
    <w:multiLevelType w:val="hybridMultilevel"/>
    <w:tmpl w:val="3A1CBD0A"/>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59782BBC"/>
    <w:multiLevelType w:val="hybridMultilevel"/>
    <w:tmpl w:val="F5D22E1A"/>
    <w:lvl w:ilvl="0" w:tplc="38D6EE3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9E859DF"/>
    <w:multiLevelType w:val="hybridMultilevel"/>
    <w:tmpl w:val="319EEB8C"/>
    <w:lvl w:ilvl="0" w:tplc="B0F4FC94">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8C14FEF"/>
    <w:multiLevelType w:val="hybridMultilevel"/>
    <w:tmpl w:val="4ECE8A7A"/>
    <w:lvl w:ilvl="0" w:tplc="C63A1486">
      <w:start w:val="1"/>
      <w:numFmt w:val="lowerRoman"/>
      <w:lvlText w:val="(%1)"/>
      <w:lvlJc w:val="righ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79836A18"/>
    <w:multiLevelType w:val="hybridMultilevel"/>
    <w:tmpl w:val="44FA8FC6"/>
    <w:lvl w:ilvl="0" w:tplc="0C090013">
      <w:start w:val="1"/>
      <w:numFmt w:val="upperRoman"/>
      <w:lvlText w:val="%1."/>
      <w:lvlJc w:val="righ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start w:val="1"/>
      <w:numFmt w:val="decimal"/>
      <w:lvlText w:val="%4."/>
      <w:lvlJc w:val="left"/>
      <w:pPr>
        <w:ind w:left="4320" w:hanging="360"/>
      </w:pPr>
    </w:lvl>
    <w:lvl w:ilvl="4" w:tplc="08090019">
      <w:start w:val="1"/>
      <w:numFmt w:val="lowerLetter"/>
      <w:lvlText w:val="%5."/>
      <w:lvlJc w:val="left"/>
      <w:pPr>
        <w:ind w:left="5040" w:hanging="360"/>
      </w:pPr>
    </w:lvl>
    <w:lvl w:ilvl="5" w:tplc="0809001B">
      <w:start w:val="1"/>
      <w:numFmt w:val="lowerRoman"/>
      <w:lvlText w:val="%6."/>
      <w:lvlJc w:val="right"/>
      <w:pPr>
        <w:ind w:left="5760" w:hanging="180"/>
      </w:pPr>
    </w:lvl>
    <w:lvl w:ilvl="6" w:tplc="0809000F">
      <w:start w:val="1"/>
      <w:numFmt w:val="decimal"/>
      <w:lvlText w:val="%7."/>
      <w:lvlJc w:val="left"/>
      <w:pPr>
        <w:ind w:left="6480" w:hanging="360"/>
      </w:pPr>
    </w:lvl>
    <w:lvl w:ilvl="7" w:tplc="08090019">
      <w:start w:val="1"/>
      <w:numFmt w:val="lowerLetter"/>
      <w:lvlText w:val="%8."/>
      <w:lvlJc w:val="left"/>
      <w:pPr>
        <w:ind w:left="7200" w:hanging="360"/>
      </w:pPr>
    </w:lvl>
    <w:lvl w:ilvl="8" w:tplc="0809001B">
      <w:start w:val="1"/>
      <w:numFmt w:val="lowerRoman"/>
      <w:lvlText w:val="%9."/>
      <w:lvlJc w:val="right"/>
      <w:pPr>
        <w:ind w:left="7920" w:hanging="180"/>
      </w:pPr>
    </w:lvl>
  </w:abstractNum>
  <w:num w:numId="1" w16cid:durableId="123813686">
    <w:abstractNumId w:val="13"/>
  </w:num>
  <w:num w:numId="2" w16cid:durableId="549457210">
    <w:abstractNumId w:val="5"/>
  </w:num>
  <w:num w:numId="3" w16cid:durableId="1273561417">
    <w:abstractNumId w:val="0"/>
  </w:num>
  <w:num w:numId="4" w16cid:durableId="352536736">
    <w:abstractNumId w:val="24"/>
  </w:num>
  <w:num w:numId="5" w16cid:durableId="437215100">
    <w:abstractNumId w:val="25"/>
  </w:num>
  <w:num w:numId="6" w16cid:durableId="1278758710">
    <w:abstractNumId w:val="18"/>
  </w:num>
  <w:num w:numId="7" w16cid:durableId="1954165667">
    <w:abstractNumId w:val="14"/>
  </w:num>
  <w:num w:numId="8" w16cid:durableId="1197624448">
    <w:abstractNumId w:val="8"/>
  </w:num>
  <w:num w:numId="9" w16cid:durableId="1735272121">
    <w:abstractNumId w:val="21"/>
  </w:num>
  <w:num w:numId="10" w16cid:durableId="1453792029">
    <w:abstractNumId w:val="15"/>
  </w:num>
  <w:num w:numId="11" w16cid:durableId="1688822109">
    <w:abstractNumId w:val="23"/>
  </w:num>
  <w:num w:numId="12" w16cid:durableId="791020892">
    <w:abstractNumId w:val="19"/>
  </w:num>
  <w:num w:numId="13" w16cid:durableId="67391146">
    <w:abstractNumId w:val="9"/>
  </w:num>
  <w:num w:numId="14" w16cid:durableId="733118154">
    <w:abstractNumId w:val="7"/>
  </w:num>
  <w:num w:numId="15" w16cid:durableId="2108501315">
    <w:abstractNumId w:val="26"/>
  </w:num>
  <w:num w:numId="16" w16cid:durableId="1932616108">
    <w:abstractNumId w:val="20"/>
  </w:num>
  <w:num w:numId="17" w16cid:durableId="1831600195">
    <w:abstractNumId w:val="17"/>
  </w:num>
  <w:num w:numId="18" w16cid:durableId="649410270">
    <w:abstractNumId w:val="2"/>
  </w:num>
  <w:num w:numId="19" w16cid:durableId="2098091239">
    <w:abstractNumId w:val="10"/>
  </w:num>
  <w:num w:numId="20" w16cid:durableId="850534981">
    <w:abstractNumId w:val="3"/>
  </w:num>
  <w:num w:numId="21" w16cid:durableId="952907097">
    <w:abstractNumId w:val="6"/>
  </w:num>
  <w:num w:numId="22" w16cid:durableId="1916937931">
    <w:abstractNumId w:val="1"/>
  </w:num>
  <w:num w:numId="23" w16cid:durableId="1066412455">
    <w:abstractNumId w:val="4"/>
    <w:lvlOverride w:ilvl="0">
      <w:startOverride w:val="8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9348301">
    <w:abstractNumId w:val="27"/>
  </w:num>
  <w:num w:numId="25" w16cid:durableId="1903564981">
    <w:abstractNumId w:val="12"/>
  </w:num>
  <w:num w:numId="26" w16cid:durableId="647588842">
    <w:abstractNumId w:val="27"/>
  </w:num>
  <w:num w:numId="27" w16cid:durableId="1517697498">
    <w:abstractNumId w:val="12"/>
  </w:num>
  <w:num w:numId="28" w16cid:durableId="344790677">
    <w:abstractNumId w:val="16"/>
  </w:num>
  <w:num w:numId="29" w16cid:durableId="1034696236">
    <w:abstractNumId w:val="22"/>
  </w:num>
  <w:num w:numId="30" w16cid:durableId="14411435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H" w:vendorID="64" w:dllVersion="6" w:nlCheck="1" w:checkStyle="0"/>
  <w:activeWritingStyle w:appName="MSWord" w:lang="en-GB" w:vendorID="64" w:dllVersion="6" w:nlCheck="1" w:checkStyle="0"/>
  <w:activeWritingStyle w:appName="MSWord" w:lang="en-US" w:vendorID="64" w:dllVersion="6" w:nlCheck="1" w:checkStyle="0"/>
  <w:activeWritingStyle w:appName="MSWord" w:lang="en-AU" w:vendorID="64" w:dllVersion="6" w:nlCheck="1" w:checkStyle="0"/>
  <w:activeWritingStyle w:appName="MSWord" w:lang="es-ES" w:vendorID="64" w:dllVersion="6" w:nlCheck="1" w:checkStyle="0"/>
  <w:activeWritingStyle w:appName="MSWord" w:lang="en-GB" w:vendorID="64" w:dllVersion="0" w:nlCheck="1" w:checkStyle="0"/>
  <w:activeWritingStyle w:appName="MSWord" w:lang="fr-CH" w:vendorID="64" w:dllVersion="0" w:nlCheck="1" w:checkStyle="0"/>
  <w:activeWritingStyle w:appName="MSWord" w:lang="es-ES"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n-AU" w:vendorID="64" w:dllVersion="4096" w:nlCheck="1" w:checkStyle="0"/>
  <w:activeWritingStyle w:appName="MSWord" w:lang="en-AU" w:vendorID="64" w:dllVersion="0" w:nlCheck="1" w:checkStyle="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trackedChanges" w:enforcement="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Y1MjI1NbMwMzU0MzBQ0lEKTi0uzszPAykwqQUA/owHzSwAAAA="/>
  </w:docVars>
  <w:rsids>
    <w:rsidRoot w:val="00745EE9"/>
    <w:rsid w:val="00000AD9"/>
    <w:rsid w:val="00000E6E"/>
    <w:rsid w:val="000025E1"/>
    <w:rsid w:val="000033CA"/>
    <w:rsid w:val="00003F00"/>
    <w:rsid w:val="000122D2"/>
    <w:rsid w:val="00013FE3"/>
    <w:rsid w:val="00014369"/>
    <w:rsid w:val="000143BA"/>
    <w:rsid w:val="000228BC"/>
    <w:rsid w:val="000230A7"/>
    <w:rsid w:val="0003094A"/>
    <w:rsid w:val="00032AD2"/>
    <w:rsid w:val="00033A4E"/>
    <w:rsid w:val="000340D0"/>
    <w:rsid w:val="000450AF"/>
    <w:rsid w:val="00046594"/>
    <w:rsid w:val="0004683B"/>
    <w:rsid w:val="00046E92"/>
    <w:rsid w:val="00052B79"/>
    <w:rsid w:val="00053171"/>
    <w:rsid w:val="00060BD7"/>
    <w:rsid w:val="00061CD1"/>
    <w:rsid w:val="00062D88"/>
    <w:rsid w:val="0006309B"/>
    <w:rsid w:val="0006414B"/>
    <w:rsid w:val="00065E35"/>
    <w:rsid w:val="00066FAC"/>
    <w:rsid w:val="00070D63"/>
    <w:rsid w:val="00075BF4"/>
    <w:rsid w:val="00080734"/>
    <w:rsid w:val="00080A71"/>
    <w:rsid w:val="000814A5"/>
    <w:rsid w:val="00083354"/>
    <w:rsid w:val="00083FD2"/>
    <w:rsid w:val="0008468D"/>
    <w:rsid w:val="00086882"/>
    <w:rsid w:val="00086A1D"/>
    <w:rsid w:val="00093937"/>
    <w:rsid w:val="00095006"/>
    <w:rsid w:val="000A3777"/>
    <w:rsid w:val="000A6897"/>
    <w:rsid w:val="000B03D7"/>
    <w:rsid w:val="000B04B0"/>
    <w:rsid w:val="000B108F"/>
    <w:rsid w:val="000B153E"/>
    <w:rsid w:val="000B4495"/>
    <w:rsid w:val="000B4E26"/>
    <w:rsid w:val="000C1229"/>
    <w:rsid w:val="000C291C"/>
    <w:rsid w:val="000C71E3"/>
    <w:rsid w:val="000C729E"/>
    <w:rsid w:val="000D4831"/>
    <w:rsid w:val="000D4B29"/>
    <w:rsid w:val="000E2249"/>
    <w:rsid w:val="000E2646"/>
    <w:rsid w:val="000E2BE8"/>
    <w:rsid w:val="000E3CD8"/>
    <w:rsid w:val="000E412C"/>
    <w:rsid w:val="000E67E3"/>
    <w:rsid w:val="000F1509"/>
    <w:rsid w:val="000F1CA9"/>
    <w:rsid w:val="000F5DE7"/>
    <w:rsid w:val="000F79EB"/>
    <w:rsid w:val="00100329"/>
    <w:rsid w:val="00101A89"/>
    <w:rsid w:val="00101BAF"/>
    <w:rsid w:val="001025E9"/>
    <w:rsid w:val="00110EED"/>
    <w:rsid w:val="0011333D"/>
    <w:rsid w:val="00113BED"/>
    <w:rsid w:val="00115511"/>
    <w:rsid w:val="0011747E"/>
    <w:rsid w:val="00117C9F"/>
    <w:rsid w:val="00120CE0"/>
    <w:rsid w:val="00122D86"/>
    <w:rsid w:val="00124F24"/>
    <w:rsid w:val="0012673D"/>
    <w:rsid w:val="00130367"/>
    <w:rsid w:val="001319A5"/>
    <w:rsid w:val="00136321"/>
    <w:rsid w:val="0013694B"/>
    <w:rsid w:val="00136C4D"/>
    <w:rsid w:val="00137352"/>
    <w:rsid w:val="001401F0"/>
    <w:rsid w:val="00140A71"/>
    <w:rsid w:val="00144441"/>
    <w:rsid w:val="001506D3"/>
    <w:rsid w:val="001508A5"/>
    <w:rsid w:val="00151337"/>
    <w:rsid w:val="0015169E"/>
    <w:rsid w:val="00151C9C"/>
    <w:rsid w:val="00152963"/>
    <w:rsid w:val="001545BE"/>
    <w:rsid w:val="00154A96"/>
    <w:rsid w:val="00161A26"/>
    <w:rsid w:val="00162CBB"/>
    <w:rsid w:val="00163F72"/>
    <w:rsid w:val="00164BF5"/>
    <w:rsid w:val="00171A9F"/>
    <w:rsid w:val="00172F8B"/>
    <w:rsid w:val="00176227"/>
    <w:rsid w:val="00183700"/>
    <w:rsid w:val="0018433A"/>
    <w:rsid w:val="001858FC"/>
    <w:rsid w:val="00191B56"/>
    <w:rsid w:val="001930B5"/>
    <w:rsid w:val="0019341B"/>
    <w:rsid w:val="00195B0C"/>
    <w:rsid w:val="001A3D0A"/>
    <w:rsid w:val="001A44E8"/>
    <w:rsid w:val="001B1017"/>
    <w:rsid w:val="001B3678"/>
    <w:rsid w:val="001B6957"/>
    <w:rsid w:val="001C1B9A"/>
    <w:rsid w:val="001D059F"/>
    <w:rsid w:val="001E1367"/>
    <w:rsid w:val="001E4215"/>
    <w:rsid w:val="001E46A1"/>
    <w:rsid w:val="001E55F9"/>
    <w:rsid w:val="001F2155"/>
    <w:rsid w:val="001F298D"/>
    <w:rsid w:val="001F313E"/>
    <w:rsid w:val="001F40C2"/>
    <w:rsid w:val="001F77B1"/>
    <w:rsid w:val="00203C6E"/>
    <w:rsid w:val="002063A2"/>
    <w:rsid w:val="0021261E"/>
    <w:rsid w:val="00215B4D"/>
    <w:rsid w:val="002160B7"/>
    <w:rsid w:val="00217276"/>
    <w:rsid w:val="002218A4"/>
    <w:rsid w:val="002424EA"/>
    <w:rsid w:val="00247E2C"/>
    <w:rsid w:val="00250850"/>
    <w:rsid w:val="00252AA3"/>
    <w:rsid w:val="00253F57"/>
    <w:rsid w:val="00257C40"/>
    <w:rsid w:val="00262623"/>
    <w:rsid w:val="00272227"/>
    <w:rsid w:val="002755DB"/>
    <w:rsid w:val="002761E8"/>
    <w:rsid w:val="002763E3"/>
    <w:rsid w:val="002806B8"/>
    <w:rsid w:val="00285984"/>
    <w:rsid w:val="00290023"/>
    <w:rsid w:val="0029064A"/>
    <w:rsid w:val="00290671"/>
    <w:rsid w:val="00293CB6"/>
    <w:rsid w:val="002A0BDC"/>
    <w:rsid w:val="002A20BD"/>
    <w:rsid w:val="002A7ED0"/>
    <w:rsid w:val="002B0489"/>
    <w:rsid w:val="002B329F"/>
    <w:rsid w:val="002B3C11"/>
    <w:rsid w:val="002C2E7F"/>
    <w:rsid w:val="002C3D94"/>
    <w:rsid w:val="002C4A5C"/>
    <w:rsid w:val="002C634A"/>
    <w:rsid w:val="002C703A"/>
    <w:rsid w:val="002D09C9"/>
    <w:rsid w:val="002D0C79"/>
    <w:rsid w:val="002D2248"/>
    <w:rsid w:val="002D3F6B"/>
    <w:rsid w:val="002D4245"/>
    <w:rsid w:val="002D4F51"/>
    <w:rsid w:val="002D6507"/>
    <w:rsid w:val="002D6755"/>
    <w:rsid w:val="002D6C49"/>
    <w:rsid w:val="002D6C53"/>
    <w:rsid w:val="002D7602"/>
    <w:rsid w:val="002D7F91"/>
    <w:rsid w:val="002E0058"/>
    <w:rsid w:val="002E3D52"/>
    <w:rsid w:val="002E5CFA"/>
    <w:rsid w:val="002F127D"/>
    <w:rsid w:val="002F238A"/>
    <w:rsid w:val="002F23B7"/>
    <w:rsid w:val="002F5595"/>
    <w:rsid w:val="002F5A5F"/>
    <w:rsid w:val="002F62A4"/>
    <w:rsid w:val="003001A8"/>
    <w:rsid w:val="00301F00"/>
    <w:rsid w:val="003048C7"/>
    <w:rsid w:val="003055B7"/>
    <w:rsid w:val="00305945"/>
    <w:rsid w:val="003102A4"/>
    <w:rsid w:val="00312CD5"/>
    <w:rsid w:val="00315FE3"/>
    <w:rsid w:val="00317DC1"/>
    <w:rsid w:val="00320ED3"/>
    <w:rsid w:val="00322086"/>
    <w:rsid w:val="0032284C"/>
    <w:rsid w:val="003237A8"/>
    <w:rsid w:val="00330106"/>
    <w:rsid w:val="00332B31"/>
    <w:rsid w:val="00334F6A"/>
    <w:rsid w:val="00335B17"/>
    <w:rsid w:val="003409DB"/>
    <w:rsid w:val="00341D79"/>
    <w:rsid w:val="00342AC8"/>
    <w:rsid w:val="00343E1C"/>
    <w:rsid w:val="00344E63"/>
    <w:rsid w:val="0035385B"/>
    <w:rsid w:val="0035470A"/>
    <w:rsid w:val="00357CBC"/>
    <w:rsid w:val="00357D24"/>
    <w:rsid w:val="00360A6D"/>
    <w:rsid w:val="0036109F"/>
    <w:rsid w:val="00362C9C"/>
    <w:rsid w:val="00362F6C"/>
    <w:rsid w:val="0036436F"/>
    <w:rsid w:val="003658F0"/>
    <w:rsid w:val="00372A70"/>
    <w:rsid w:val="003733C1"/>
    <w:rsid w:val="0037466D"/>
    <w:rsid w:val="003750EB"/>
    <w:rsid w:val="003753E7"/>
    <w:rsid w:val="00377530"/>
    <w:rsid w:val="00380E28"/>
    <w:rsid w:val="00386065"/>
    <w:rsid w:val="003903B5"/>
    <w:rsid w:val="0039466A"/>
    <w:rsid w:val="00394D94"/>
    <w:rsid w:val="003A0DAB"/>
    <w:rsid w:val="003A2A72"/>
    <w:rsid w:val="003B0925"/>
    <w:rsid w:val="003B3407"/>
    <w:rsid w:val="003B4550"/>
    <w:rsid w:val="003B4CDF"/>
    <w:rsid w:val="003B50F3"/>
    <w:rsid w:val="003B7C1E"/>
    <w:rsid w:val="003B7D30"/>
    <w:rsid w:val="003C022A"/>
    <w:rsid w:val="003C5AB4"/>
    <w:rsid w:val="003C6AA5"/>
    <w:rsid w:val="003D1ECE"/>
    <w:rsid w:val="003D5540"/>
    <w:rsid w:val="003E0F74"/>
    <w:rsid w:val="003E17AA"/>
    <w:rsid w:val="003E1F9A"/>
    <w:rsid w:val="003E2E70"/>
    <w:rsid w:val="003E31BE"/>
    <w:rsid w:val="003E3BD2"/>
    <w:rsid w:val="003E3E9A"/>
    <w:rsid w:val="003F35C1"/>
    <w:rsid w:val="003F5F6C"/>
    <w:rsid w:val="003F6904"/>
    <w:rsid w:val="004001BB"/>
    <w:rsid w:val="00400996"/>
    <w:rsid w:val="00400B30"/>
    <w:rsid w:val="00403F7F"/>
    <w:rsid w:val="00405F57"/>
    <w:rsid w:val="0041366A"/>
    <w:rsid w:val="00413818"/>
    <w:rsid w:val="00414CCB"/>
    <w:rsid w:val="00415824"/>
    <w:rsid w:val="004160C7"/>
    <w:rsid w:val="00416459"/>
    <w:rsid w:val="00417DCB"/>
    <w:rsid w:val="00421C38"/>
    <w:rsid w:val="00424646"/>
    <w:rsid w:val="00426269"/>
    <w:rsid w:val="004318ED"/>
    <w:rsid w:val="00431A14"/>
    <w:rsid w:val="00436725"/>
    <w:rsid w:val="00440C37"/>
    <w:rsid w:val="00440FB5"/>
    <w:rsid w:val="00443C17"/>
    <w:rsid w:val="0044732D"/>
    <w:rsid w:val="00451F67"/>
    <w:rsid w:val="00452C34"/>
    <w:rsid w:val="00453383"/>
    <w:rsid w:val="00453C3E"/>
    <w:rsid w:val="00455B93"/>
    <w:rsid w:val="00461253"/>
    <w:rsid w:val="004634E3"/>
    <w:rsid w:val="00463776"/>
    <w:rsid w:val="00465B4E"/>
    <w:rsid w:val="00465FE5"/>
    <w:rsid w:val="0046723B"/>
    <w:rsid w:val="00467F7C"/>
    <w:rsid w:val="00470468"/>
    <w:rsid w:val="004706F1"/>
    <w:rsid w:val="004755AA"/>
    <w:rsid w:val="00475E1A"/>
    <w:rsid w:val="00476DEE"/>
    <w:rsid w:val="004839CB"/>
    <w:rsid w:val="00484813"/>
    <w:rsid w:val="00487B03"/>
    <w:rsid w:val="00487E79"/>
    <w:rsid w:val="0049197C"/>
    <w:rsid w:val="0049511C"/>
    <w:rsid w:val="00495793"/>
    <w:rsid w:val="004A1DC4"/>
    <w:rsid w:val="004A2523"/>
    <w:rsid w:val="004A46BA"/>
    <w:rsid w:val="004B1304"/>
    <w:rsid w:val="004B45F7"/>
    <w:rsid w:val="004B6983"/>
    <w:rsid w:val="004B6F1F"/>
    <w:rsid w:val="004C113B"/>
    <w:rsid w:val="004C1C99"/>
    <w:rsid w:val="004C33F4"/>
    <w:rsid w:val="004C4FAA"/>
    <w:rsid w:val="004C6E07"/>
    <w:rsid w:val="004D02DB"/>
    <w:rsid w:val="004D031C"/>
    <w:rsid w:val="004D351E"/>
    <w:rsid w:val="004D5707"/>
    <w:rsid w:val="004D57A1"/>
    <w:rsid w:val="004D6948"/>
    <w:rsid w:val="004D7DAC"/>
    <w:rsid w:val="004E3333"/>
    <w:rsid w:val="004E66AA"/>
    <w:rsid w:val="004F0C45"/>
    <w:rsid w:val="004F1138"/>
    <w:rsid w:val="004F217E"/>
    <w:rsid w:val="004F2378"/>
    <w:rsid w:val="004F2E09"/>
    <w:rsid w:val="004F31B4"/>
    <w:rsid w:val="004F584F"/>
    <w:rsid w:val="004F5FDA"/>
    <w:rsid w:val="004F7B1C"/>
    <w:rsid w:val="004F7B86"/>
    <w:rsid w:val="00501377"/>
    <w:rsid w:val="00502AC4"/>
    <w:rsid w:val="005042C2"/>
    <w:rsid w:val="0050508C"/>
    <w:rsid w:val="005051AC"/>
    <w:rsid w:val="00505D56"/>
    <w:rsid w:val="005069F9"/>
    <w:rsid w:val="00507AB8"/>
    <w:rsid w:val="00510B24"/>
    <w:rsid w:val="0051228B"/>
    <w:rsid w:val="0051454E"/>
    <w:rsid w:val="00517EB9"/>
    <w:rsid w:val="005207CD"/>
    <w:rsid w:val="00520D5C"/>
    <w:rsid w:val="00526DD0"/>
    <w:rsid w:val="0052726E"/>
    <w:rsid w:val="005277F5"/>
    <w:rsid w:val="00530971"/>
    <w:rsid w:val="00533C85"/>
    <w:rsid w:val="00535A57"/>
    <w:rsid w:val="005368A2"/>
    <w:rsid w:val="00536FEB"/>
    <w:rsid w:val="00537874"/>
    <w:rsid w:val="00541574"/>
    <w:rsid w:val="00543261"/>
    <w:rsid w:val="00543FD2"/>
    <w:rsid w:val="00550116"/>
    <w:rsid w:val="0055032B"/>
    <w:rsid w:val="00550565"/>
    <w:rsid w:val="00551DE6"/>
    <w:rsid w:val="005525C5"/>
    <w:rsid w:val="005539F8"/>
    <w:rsid w:val="00554270"/>
    <w:rsid w:val="00556EBB"/>
    <w:rsid w:val="005612EC"/>
    <w:rsid w:val="00563599"/>
    <w:rsid w:val="00564DEC"/>
    <w:rsid w:val="005656D3"/>
    <w:rsid w:val="00566C23"/>
    <w:rsid w:val="00575031"/>
    <w:rsid w:val="00580EFC"/>
    <w:rsid w:val="00581ADB"/>
    <w:rsid w:val="00587368"/>
    <w:rsid w:val="0059009E"/>
    <w:rsid w:val="00590722"/>
    <w:rsid w:val="0059395F"/>
    <w:rsid w:val="00594B57"/>
    <w:rsid w:val="0059648E"/>
    <w:rsid w:val="00596674"/>
    <w:rsid w:val="005A14CB"/>
    <w:rsid w:val="005A5F37"/>
    <w:rsid w:val="005A6593"/>
    <w:rsid w:val="005A6CDA"/>
    <w:rsid w:val="005A7290"/>
    <w:rsid w:val="005A7A78"/>
    <w:rsid w:val="005B33D7"/>
    <w:rsid w:val="005B7BD7"/>
    <w:rsid w:val="005D0868"/>
    <w:rsid w:val="005D28F8"/>
    <w:rsid w:val="005D3CA4"/>
    <w:rsid w:val="005D4380"/>
    <w:rsid w:val="005D43EB"/>
    <w:rsid w:val="005D4E77"/>
    <w:rsid w:val="005D5620"/>
    <w:rsid w:val="005E08DF"/>
    <w:rsid w:val="005E2FBF"/>
    <w:rsid w:val="005E3361"/>
    <w:rsid w:val="005E38AD"/>
    <w:rsid w:val="005E49C0"/>
    <w:rsid w:val="005E6664"/>
    <w:rsid w:val="005F195E"/>
    <w:rsid w:val="005F289B"/>
    <w:rsid w:val="005F2EEE"/>
    <w:rsid w:val="005F487C"/>
    <w:rsid w:val="00601C6D"/>
    <w:rsid w:val="00602798"/>
    <w:rsid w:val="006039A7"/>
    <w:rsid w:val="00604FF1"/>
    <w:rsid w:val="00605726"/>
    <w:rsid w:val="006077AC"/>
    <w:rsid w:val="00612C66"/>
    <w:rsid w:val="00613C8B"/>
    <w:rsid w:val="00613D24"/>
    <w:rsid w:val="00615E43"/>
    <w:rsid w:val="006237CC"/>
    <w:rsid w:val="006263D6"/>
    <w:rsid w:val="00626609"/>
    <w:rsid w:val="006324E4"/>
    <w:rsid w:val="00634EA8"/>
    <w:rsid w:val="006415AB"/>
    <w:rsid w:val="0064314C"/>
    <w:rsid w:val="00647887"/>
    <w:rsid w:val="00647BA1"/>
    <w:rsid w:val="00650A95"/>
    <w:rsid w:val="00651FEE"/>
    <w:rsid w:val="00652493"/>
    <w:rsid w:val="006535BD"/>
    <w:rsid w:val="00655326"/>
    <w:rsid w:val="006562DE"/>
    <w:rsid w:val="00664419"/>
    <w:rsid w:val="00664947"/>
    <w:rsid w:val="00666BE9"/>
    <w:rsid w:val="00671529"/>
    <w:rsid w:val="0067559B"/>
    <w:rsid w:val="006756C3"/>
    <w:rsid w:val="00680461"/>
    <w:rsid w:val="0068307F"/>
    <w:rsid w:val="0068393F"/>
    <w:rsid w:val="0069077E"/>
    <w:rsid w:val="00693233"/>
    <w:rsid w:val="006945A1"/>
    <w:rsid w:val="006952E4"/>
    <w:rsid w:val="00697E9A"/>
    <w:rsid w:val="006A0BAE"/>
    <w:rsid w:val="006B09AD"/>
    <w:rsid w:val="006B0DA3"/>
    <w:rsid w:val="006B30E5"/>
    <w:rsid w:val="006B3FC4"/>
    <w:rsid w:val="006B563F"/>
    <w:rsid w:val="006B6980"/>
    <w:rsid w:val="006C0E31"/>
    <w:rsid w:val="006C3F40"/>
    <w:rsid w:val="006C4A12"/>
    <w:rsid w:val="006C4F40"/>
    <w:rsid w:val="006D3B33"/>
    <w:rsid w:val="006D63D8"/>
    <w:rsid w:val="006D6AFC"/>
    <w:rsid w:val="006D79AC"/>
    <w:rsid w:val="006E2331"/>
    <w:rsid w:val="006E4390"/>
    <w:rsid w:val="006E4D4A"/>
    <w:rsid w:val="006E7E07"/>
    <w:rsid w:val="006F0D18"/>
    <w:rsid w:val="006F0E29"/>
    <w:rsid w:val="006F17F4"/>
    <w:rsid w:val="006F3619"/>
    <w:rsid w:val="006F7B1C"/>
    <w:rsid w:val="00700D42"/>
    <w:rsid w:val="00701AB4"/>
    <w:rsid w:val="007048C1"/>
    <w:rsid w:val="007057B3"/>
    <w:rsid w:val="00706871"/>
    <w:rsid w:val="00707034"/>
    <w:rsid w:val="00711DBA"/>
    <w:rsid w:val="00714054"/>
    <w:rsid w:val="00721200"/>
    <w:rsid w:val="00721B3F"/>
    <w:rsid w:val="007230F6"/>
    <w:rsid w:val="00725677"/>
    <w:rsid w:val="007268F9"/>
    <w:rsid w:val="007272A7"/>
    <w:rsid w:val="00727BDA"/>
    <w:rsid w:val="0073275F"/>
    <w:rsid w:val="00734007"/>
    <w:rsid w:val="00734AB5"/>
    <w:rsid w:val="00734CC4"/>
    <w:rsid w:val="00734FEB"/>
    <w:rsid w:val="00735BF6"/>
    <w:rsid w:val="0073651A"/>
    <w:rsid w:val="00737081"/>
    <w:rsid w:val="007408B6"/>
    <w:rsid w:val="007431B1"/>
    <w:rsid w:val="00745EE9"/>
    <w:rsid w:val="0074687F"/>
    <w:rsid w:val="0074788E"/>
    <w:rsid w:val="00747B2D"/>
    <w:rsid w:val="00754EC1"/>
    <w:rsid w:val="00754F1B"/>
    <w:rsid w:val="0075719A"/>
    <w:rsid w:val="00760F4F"/>
    <w:rsid w:val="00764761"/>
    <w:rsid w:val="007667AC"/>
    <w:rsid w:val="00770984"/>
    <w:rsid w:val="00771E72"/>
    <w:rsid w:val="00772B02"/>
    <w:rsid w:val="00772EA0"/>
    <w:rsid w:val="00773A41"/>
    <w:rsid w:val="007752B5"/>
    <w:rsid w:val="0078080C"/>
    <w:rsid w:val="00786087"/>
    <w:rsid w:val="0079019F"/>
    <w:rsid w:val="007929BB"/>
    <w:rsid w:val="00792FF6"/>
    <w:rsid w:val="00794BC4"/>
    <w:rsid w:val="007971E7"/>
    <w:rsid w:val="00797A11"/>
    <w:rsid w:val="007A039A"/>
    <w:rsid w:val="007A3661"/>
    <w:rsid w:val="007A3992"/>
    <w:rsid w:val="007A3A47"/>
    <w:rsid w:val="007A44AE"/>
    <w:rsid w:val="007A6F0A"/>
    <w:rsid w:val="007B45E2"/>
    <w:rsid w:val="007B67F7"/>
    <w:rsid w:val="007B6E73"/>
    <w:rsid w:val="007C31F9"/>
    <w:rsid w:val="007C4E9A"/>
    <w:rsid w:val="007C52B0"/>
    <w:rsid w:val="007D0422"/>
    <w:rsid w:val="007D121D"/>
    <w:rsid w:val="007D3073"/>
    <w:rsid w:val="007D3A2C"/>
    <w:rsid w:val="007D40F7"/>
    <w:rsid w:val="007D436B"/>
    <w:rsid w:val="007E06D1"/>
    <w:rsid w:val="007E398A"/>
    <w:rsid w:val="007E553C"/>
    <w:rsid w:val="007F0284"/>
    <w:rsid w:val="007F4A9B"/>
    <w:rsid w:val="007F788D"/>
    <w:rsid w:val="00802E5D"/>
    <w:rsid w:val="00804991"/>
    <w:rsid w:val="00805A16"/>
    <w:rsid w:val="00806F91"/>
    <w:rsid w:val="00807238"/>
    <w:rsid w:val="00814B47"/>
    <w:rsid w:val="0081671F"/>
    <w:rsid w:val="00816928"/>
    <w:rsid w:val="00820CFA"/>
    <w:rsid w:val="008226D6"/>
    <w:rsid w:val="00822B60"/>
    <w:rsid w:val="00824CAD"/>
    <w:rsid w:val="00825103"/>
    <w:rsid w:val="008258B2"/>
    <w:rsid w:val="00826701"/>
    <w:rsid w:val="0084244B"/>
    <w:rsid w:val="008426F4"/>
    <w:rsid w:val="00842F8D"/>
    <w:rsid w:val="0084454C"/>
    <w:rsid w:val="00846465"/>
    <w:rsid w:val="008544B9"/>
    <w:rsid w:val="00854AF4"/>
    <w:rsid w:val="00855297"/>
    <w:rsid w:val="0086105F"/>
    <w:rsid w:val="00863A11"/>
    <w:rsid w:val="00865712"/>
    <w:rsid w:val="00865E03"/>
    <w:rsid w:val="008664DC"/>
    <w:rsid w:val="00871941"/>
    <w:rsid w:val="008729B5"/>
    <w:rsid w:val="00873774"/>
    <w:rsid w:val="00873855"/>
    <w:rsid w:val="0088227A"/>
    <w:rsid w:val="008823D9"/>
    <w:rsid w:val="00883B20"/>
    <w:rsid w:val="0088461E"/>
    <w:rsid w:val="008867C6"/>
    <w:rsid w:val="00887969"/>
    <w:rsid w:val="008942D1"/>
    <w:rsid w:val="00895529"/>
    <w:rsid w:val="00895AEC"/>
    <w:rsid w:val="008973A3"/>
    <w:rsid w:val="008A145D"/>
    <w:rsid w:val="008A15E7"/>
    <w:rsid w:val="008A228F"/>
    <w:rsid w:val="008A32ED"/>
    <w:rsid w:val="008A65C5"/>
    <w:rsid w:val="008A6F44"/>
    <w:rsid w:val="008B457A"/>
    <w:rsid w:val="008B63D7"/>
    <w:rsid w:val="008B7361"/>
    <w:rsid w:val="008C10DD"/>
    <w:rsid w:val="008C235E"/>
    <w:rsid w:val="008C38E3"/>
    <w:rsid w:val="008C3B8A"/>
    <w:rsid w:val="008C60AF"/>
    <w:rsid w:val="008D018A"/>
    <w:rsid w:val="008D2B6E"/>
    <w:rsid w:val="008D4167"/>
    <w:rsid w:val="008D4A16"/>
    <w:rsid w:val="008D53A6"/>
    <w:rsid w:val="008E3E78"/>
    <w:rsid w:val="008F03DD"/>
    <w:rsid w:val="008F0D8D"/>
    <w:rsid w:val="008F1997"/>
    <w:rsid w:val="008F1B6A"/>
    <w:rsid w:val="008F4500"/>
    <w:rsid w:val="008F6CF8"/>
    <w:rsid w:val="008F7B14"/>
    <w:rsid w:val="0090002B"/>
    <w:rsid w:val="00900C52"/>
    <w:rsid w:val="00900DC0"/>
    <w:rsid w:val="00901ADA"/>
    <w:rsid w:val="009027BC"/>
    <w:rsid w:val="00904610"/>
    <w:rsid w:val="00905222"/>
    <w:rsid w:val="00905D82"/>
    <w:rsid w:val="009117AB"/>
    <w:rsid w:val="00911EF0"/>
    <w:rsid w:val="009139D9"/>
    <w:rsid w:val="009151F2"/>
    <w:rsid w:val="00915841"/>
    <w:rsid w:val="00915C89"/>
    <w:rsid w:val="00916782"/>
    <w:rsid w:val="00920487"/>
    <w:rsid w:val="009211B7"/>
    <w:rsid w:val="009221E9"/>
    <w:rsid w:val="00922D69"/>
    <w:rsid w:val="009239CF"/>
    <w:rsid w:val="00923A96"/>
    <w:rsid w:val="00925675"/>
    <w:rsid w:val="00927BE6"/>
    <w:rsid w:val="00932591"/>
    <w:rsid w:val="00934322"/>
    <w:rsid w:val="00935DD3"/>
    <w:rsid w:val="009376C8"/>
    <w:rsid w:val="00937873"/>
    <w:rsid w:val="009411B4"/>
    <w:rsid w:val="009416A2"/>
    <w:rsid w:val="00942460"/>
    <w:rsid w:val="00942885"/>
    <w:rsid w:val="00942E16"/>
    <w:rsid w:val="00944FAA"/>
    <w:rsid w:val="00946141"/>
    <w:rsid w:val="009465C2"/>
    <w:rsid w:val="00947A26"/>
    <w:rsid w:val="009505AC"/>
    <w:rsid w:val="009522EF"/>
    <w:rsid w:val="0095471A"/>
    <w:rsid w:val="00956BB0"/>
    <w:rsid w:val="009607E1"/>
    <w:rsid w:val="009607EE"/>
    <w:rsid w:val="0097140E"/>
    <w:rsid w:val="00972FB8"/>
    <w:rsid w:val="00974625"/>
    <w:rsid w:val="00985716"/>
    <w:rsid w:val="009873E7"/>
    <w:rsid w:val="009878C7"/>
    <w:rsid w:val="009976F7"/>
    <w:rsid w:val="009978AD"/>
    <w:rsid w:val="009A055A"/>
    <w:rsid w:val="009A294B"/>
    <w:rsid w:val="009A710A"/>
    <w:rsid w:val="009A7169"/>
    <w:rsid w:val="009B1AF3"/>
    <w:rsid w:val="009B2374"/>
    <w:rsid w:val="009B3E1B"/>
    <w:rsid w:val="009B5C32"/>
    <w:rsid w:val="009B5D57"/>
    <w:rsid w:val="009C1FD9"/>
    <w:rsid w:val="009C65EA"/>
    <w:rsid w:val="009C6F70"/>
    <w:rsid w:val="009C7535"/>
    <w:rsid w:val="009D0139"/>
    <w:rsid w:val="009D12D8"/>
    <w:rsid w:val="009E119B"/>
    <w:rsid w:val="009E25F9"/>
    <w:rsid w:val="009E3814"/>
    <w:rsid w:val="009E45D1"/>
    <w:rsid w:val="009E658F"/>
    <w:rsid w:val="009F2EA2"/>
    <w:rsid w:val="009F38A5"/>
    <w:rsid w:val="009F5CDC"/>
    <w:rsid w:val="00A021C9"/>
    <w:rsid w:val="00A02338"/>
    <w:rsid w:val="00A02B39"/>
    <w:rsid w:val="00A033FC"/>
    <w:rsid w:val="00A04476"/>
    <w:rsid w:val="00A044BF"/>
    <w:rsid w:val="00A05171"/>
    <w:rsid w:val="00A12B2E"/>
    <w:rsid w:val="00A16241"/>
    <w:rsid w:val="00A1703B"/>
    <w:rsid w:val="00A20016"/>
    <w:rsid w:val="00A21346"/>
    <w:rsid w:val="00A2197D"/>
    <w:rsid w:val="00A21FFC"/>
    <w:rsid w:val="00A37AAD"/>
    <w:rsid w:val="00A40786"/>
    <w:rsid w:val="00A4377C"/>
    <w:rsid w:val="00A4514A"/>
    <w:rsid w:val="00A518B6"/>
    <w:rsid w:val="00A52A2A"/>
    <w:rsid w:val="00A55EAF"/>
    <w:rsid w:val="00A55F6B"/>
    <w:rsid w:val="00A57CE6"/>
    <w:rsid w:val="00A6011A"/>
    <w:rsid w:val="00A61F04"/>
    <w:rsid w:val="00A635F8"/>
    <w:rsid w:val="00A642CC"/>
    <w:rsid w:val="00A6504B"/>
    <w:rsid w:val="00A65558"/>
    <w:rsid w:val="00A6647D"/>
    <w:rsid w:val="00A667FC"/>
    <w:rsid w:val="00A67240"/>
    <w:rsid w:val="00A74CFD"/>
    <w:rsid w:val="00A7663A"/>
    <w:rsid w:val="00A76D90"/>
    <w:rsid w:val="00A77195"/>
    <w:rsid w:val="00A774A3"/>
    <w:rsid w:val="00A775CF"/>
    <w:rsid w:val="00A83DBB"/>
    <w:rsid w:val="00A83E91"/>
    <w:rsid w:val="00A86552"/>
    <w:rsid w:val="00A86C9D"/>
    <w:rsid w:val="00A86F65"/>
    <w:rsid w:val="00A90060"/>
    <w:rsid w:val="00A905BA"/>
    <w:rsid w:val="00A928BB"/>
    <w:rsid w:val="00A946B9"/>
    <w:rsid w:val="00A951FD"/>
    <w:rsid w:val="00A97701"/>
    <w:rsid w:val="00AA0746"/>
    <w:rsid w:val="00AA617C"/>
    <w:rsid w:val="00AB1E0D"/>
    <w:rsid w:val="00AB3131"/>
    <w:rsid w:val="00AB3496"/>
    <w:rsid w:val="00AB3689"/>
    <w:rsid w:val="00AB52F0"/>
    <w:rsid w:val="00AB7BDC"/>
    <w:rsid w:val="00AC00EB"/>
    <w:rsid w:val="00AC77AC"/>
    <w:rsid w:val="00AD02F5"/>
    <w:rsid w:val="00AD064E"/>
    <w:rsid w:val="00AD0F9C"/>
    <w:rsid w:val="00AD3014"/>
    <w:rsid w:val="00AD3B78"/>
    <w:rsid w:val="00AD448F"/>
    <w:rsid w:val="00AD5725"/>
    <w:rsid w:val="00AD6000"/>
    <w:rsid w:val="00AE2725"/>
    <w:rsid w:val="00AE2AFA"/>
    <w:rsid w:val="00AE62FC"/>
    <w:rsid w:val="00AE6682"/>
    <w:rsid w:val="00AE6754"/>
    <w:rsid w:val="00AE6894"/>
    <w:rsid w:val="00AE71DB"/>
    <w:rsid w:val="00AE7435"/>
    <w:rsid w:val="00AE79AD"/>
    <w:rsid w:val="00AF0F6E"/>
    <w:rsid w:val="00AF1864"/>
    <w:rsid w:val="00AF19A8"/>
    <w:rsid w:val="00AF2B65"/>
    <w:rsid w:val="00AF334E"/>
    <w:rsid w:val="00AF7C95"/>
    <w:rsid w:val="00B00804"/>
    <w:rsid w:val="00B0277B"/>
    <w:rsid w:val="00B05471"/>
    <w:rsid w:val="00B06045"/>
    <w:rsid w:val="00B11D60"/>
    <w:rsid w:val="00B16A1D"/>
    <w:rsid w:val="00B1790C"/>
    <w:rsid w:val="00B17A39"/>
    <w:rsid w:val="00B23F21"/>
    <w:rsid w:val="00B25111"/>
    <w:rsid w:val="00B275CB"/>
    <w:rsid w:val="00B32D14"/>
    <w:rsid w:val="00B34774"/>
    <w:rsid w:val="00B37228"/>
    <w:rsid w:val="00B37653"/>
    <w:rsid w:val="00B37AB3"/>
    <w:rsid w:val="00B41004"/>
    <w:rsid w:val="00B43173"/>
    <w:rsid w:val="00B46E7E"/>
    <w:rsid w:val="00B52AA7"/>
    <w:rsid w:val="00B54F17"/>
    <w:rsid w:val="00B55B32"/>
    <w:rsid w:val="00B57A9F"/>
    <w:rsid w:val="00B608FD"/>
    <w:rsid w:val="00B61880"/>
    <w:rsid w:val="00B66B28"/>
    <w:rsid w:val="00B67B56"/>
    <w:rsid w:val="00B753FF"/>
    <w:rsid w:val="00B77CC3"/>
    <w:rsid w:val="00B868CB"/>
    <w:rsid w:val="00B94C20"/>
    <w:rsid w:val="00B94F3E"/>
    <w:rsid w:val="00B95C17"/>
    <w:rsid w:val="00B96C5D"/>
    <w:rsid w:val="00BA4A4B"/>
    <w:rsid w:val="00BA4D52"/>
    <w:rsid w:val="00BA4FC2"/>
    <w:rsid w:val="00BB0C90"/>
    <w:rsid w:val="00BB536D"/>
    <w:rsid w:val="00BC0989"/>
    <w:rsid w:val="00BC4589"/>
    <w:rsid w:val="00BC5CB2"/>
    <w:rsid w:val="00BC74EF"/>
    <w:rsid w:val="00BD0662"/>
    <w:rsid w:val="00BD0792"/>
    <w:rsid w:val="00BD1DDA"/>
    <w:rsid w:val="00BD3BF8"/>
    <w:rsid w:val="00BD6C42"/>
    <w:rsid w:val="00BE04BA"/>
    <w:rsid w:val="00BE209E"/>
    <w:rsid w:val="00BE4CA4"/>
    <w:rsid w:val="00BE67E5"/>
    <w:rsid w:val="00BF20F0"/>
    <w:rsid w:val="00BF39CB"/>
    <w:rsid w:val="00BF4F4F"/>
    <w:rsid w:val="00BF514B"/>
    <w:rsid w:val="00BF6216"/>
    <w:rsid w:val="00C02311"/>
    <w:rsid w:val="00C02D98"/>
    <w:rsid w:val="00C03687"/>
    <w:rsid w:val="00C03A00"/>
    <w:rsid w:val="00C04497"/>
    <w:rsid w:val="00C04B07"/>
    <w:rsid w:val="00C07823"/>
    <w:rsid w:val="00C11D23"/>
    <w:rsid w:val="00C13A03"/>
    <w:rsid w:val="00C15C44"/>
    <w:rsid w:val="00C22001"/>
    <w:rsid w:val="00C230D0"/>
    <w:rsid w:val="00C26EBC"/>
    <w:rsid w:val="00C2798F"/>
    <w:rsid w:val="00C30A90"/>
    <w:rsid w:val="00C33625"/>
    <w:rsid w:val="00C35A27"/>
    <w:rsid w:val="00C35E64"/>
    <w:rsid w:val="00C374A4"/>
    <w:rsid w:val="00C37C18"/>
    <w:rsid w:val="00C40924"/>
    <w:rsid w:val="00C42E80"/>
    <w:rsid w:val="00C435DB"/>
    <w:rsid w:val="00C4467C"/>
    <w:rsid w:val="00C47E1C"/>
    <w:rsid w:val="00C510E0"/>
    <w:rsid w:val="00C52B47"/>
    <w:rsid w:val="00C53BBC"/>
    <w:rsid w:val="00C5417D"/>
    <w:rsid w:val="00C60D80"/>
    <w:rsid w:val="00C61089"/>
    <w:rsid w:val="00C614D9"/>
    <w:rsid w:val="00C61FAC"/>
    <w:rsid w:val="00C62BCD"/>
    <w:rsid w:val="00C7223F"/>
    <w:rsid w:val="00C7271F"/>
    <w:rsid w:val="00C75565"/>
    <w:rsid w:val="00C81AFF"/>
    <w:rsid w:val="00C83824"/>
    <w:rsid w:val="00C83BF0"/>
    <w:rsid w:val="00C85064"/>
    <w:rsid w:val="00C87FF7"/>
    <w:rsid w:val="00C9007B"/>
    <w:rsid w:val="00C97BBE"/>
    <w:rsid w:val="00CA0784"/>
    <w:rsid w:val="00CA665D"/>
    <w:rsid w:val="00CA6887"/>
    <w:rsid w:val="00CA751A"/>
    <w:rsid w:val="00CA7CB7"/>
    <w:rsid w:val="00CB1327"/>
    <w:rsid w:val="00CB4929"/>
    <w:rsid w:val="00CB5AF3"/>
    <w:rsid w:val="00CB799E"/>
    <w:rsid w:val="00CC0165"/>
    <w:rsid w:val="00CC3AB5"/>
    <w:rsid w:val="00CC3ED3"/>
    <w:rsid w:val="00CD282F"/>
    <w:rsid w:val="00CD3DFD"/>
    <w:rsid w:val="00CD4144"/>
    <w:rsid w:val="00CE3A4E"/>
    <w:rsid w:val="00CE4BB4"/>
    <w:rsid w:val="00CF3A43"/>
    <w:rsid w:val="00D03608"/>
    <w:rsid w:val="00D06BC9"/>
    <w:rsid w:val="00D10B2C"/>
    <w:rsid w:val="00D118D4"/>
    <w:rsid w:val="00D12D0B"/>
    <w:rsid w:val="00D1484E"/>
    <w:rsid w:val="00D169F3"/>
    <w:rsid w:val="00D170C8"/>
    <w:rsid w:val="00D209DC"/>
    <w:rsid w:val="00D22CFB"/>
    <w:rsid w:val="00D24AB1"/>
    <w:rsid w:val="00D26316"/>
    <w:rsid w:val="00D27D7B"/>
    <w:rsid w:val="00D338E0"/>
    <w:rsid w:val="00D35DBE"/>
    <w:rsid w:val="00D35E1E"/>
    <w:rsid w:val="00D36A13"/>
    <w:rsid w:val="00D377ED"/>
    <w:rsid w:val="00D40093"/>
    <w:rsid w:val="00D41479"/>
    <w:rsid w:val="00D4436D"/>
    <w:rsid w:val="00D45978"/>
    <w:rsid w:val="00D50835"/>
    <w:rsid w:val="00D56CEE"/>
    <w:rsid w:val="00D57575"/>
    <w:rsid w:val="00D649C9"/>
    <w:rsid w:val="00D66DA1"/>
    <w:rsid w:val="00D760A3"/>
    <w:rsid w:val="00D769D7"/>
    <w:rsid w:val="00D81E9B"/>
    <w:rsid w:val="00D84C7E"/>
    <w:rsid w:val="00D8716E"/>
    <w:rsid w:val="00D956AC"/>
    <w:rsid w:val="00D96480"/>
    <w:rsid w:val="00D9773D"/>
    <w:rsid w:val="00DA3473"/>
    <w:rsid w:val="00DB0CBE"/>
    <w:rsid w:val="00DB1710"/>
    <w:rsid w:val="00DB1973"/>
    <w:rsid w:val="00DB250A"/>
    <w:rsid w:val="00DB3372"/>
    <w:rsid w:val="00DB48D2"/>
    <w:rsid w:val="00DB568D"/>
    <w:rsid w:val="00DC2AD2"/>
    <w:rsid w:val="00DC30A6"/>
    <w:rsid w:val="00DC45A6"/>
    <w:rsid w:val="00DD0C5E"/>
    <w:rsid w:val="00DD1322"/>
    <w:rsid w:val="00DD7551"/>
    <w:rsid w:val="00DE0495"/>
    <w:rsid w:val="00DE0663"/>
    <w:rsid w:val="00DE201E"/>
    <w:rsid w:val="00DE206F"/>
    <w:rsid w:val="00DE5215"/>
    <w:rsid w:val="00DE7F74"/>
    <w:rsid w:val="00DF1E85"/>
    <w:rsid w:val="00DF2576"/>
    <w:rsid w:val="00DF3101"/>
    <w:rsid w:val="00DF5F42"/>
    <w:rsid w:val="00E021ED"/>
    <w:rsid w:val="00E02C2B"/>
    <w:rsid w:val="00E030F5"/>
    <w:rsid w:val="00E05B72"/>
    <w:rsid w:val="00E07D66"/>
    <w:rsid w:val="00E17084"/>
    <w:rsid w:val="00E23A39"/>
    <w:rsid w:val="00E263F8"/>
    <w:rsid w:val="00E33CFD"/>
    <w:rsid w:val="00E350FC"/>
    <w:rsid w:val="00E354EE"/>
    <w:rsid w:val="00E35C2C"/>
    <w:rsid w:val="00E35E1B"/>
    <w:rsid w:val="00E361BE"/>
    <w:rsid w:val="00E378B4"/>
    <w:rsid w:val="00E415FB"/>
    <w:rsid w:val="00E429BF"/>
    <w:rsid w:val="00E43A74"/>
    <w:rsid w:val="00E476CD"/>
    <w:rsid w:val="00E50208"/>
    <w:rsid w:val="00E50CEB"/>
    <w:rsid w:val="00E513EF"/>
    <w:rsid w:val="00E5320E"/>
    <w:rsid w:val="00E53A1C"/>
    <w:rsid w:val="00E5619C"/>
    <w:rsid w:val="00E562AD"/>
    <w:rsid w:val="00E6158E"/>
    <w:rsid w:val="00E61E35"/>
    <w:rsid w:val="00E62435"/>
    <w:rsid w:val="00E62F2F"/>
    <w:rsid w:val="00E64F42"/>
    <w:rsid w:val="00E65790"/>
    <w:rsid w:val="00E760E8"/>
    <w:rsid w:val="00E7771C"/>
    <w:rsid w:val="00E84800"/>
    <w:rsid w:val="00E854E3"/>
    <w:rsid w:val="00E87A70"/>
    <w:rsid w:val="00E91022"/>
    <w:rsid w:val="00E96D2C"/>
    <w:rsid w:val="00E97BC9"/>
    <w:rsid w:val="00E97FEC"/>
    <w:rsid w:val="00EA3E26"/>
    <w:rsid w:val="00EA41FB"/>
    <w:rsid w:val="00EA5491"/>
    <w:rsid w:val="00EA7EB6"/>
    <w:rsid w:val="00EB014D"/>
    <w:rsid w:val="00EB0245"/>
    <w:rsid w:val="00EB121A"/>
    <w:rsid w:val="00EB3379"/>
    <w:rsid w:val="00EB3FF3"/>
    <w:rsid w:val="00EB5B0D"/>
    <w:rsid w:val="00EC01EB"/>
    <w:rsid w:val="00EC07CD"/>
    <w:rsid w:val="00EC0A4B"/>
    <w:rsid w:val="00EC4F06"/>
    <w:rsid w:val="00EC7358"/>
    <w:rsid w:val="00ED0005"/>
    <w:rsid w:val="00ED26E8"/>
    <w:rsid w:val="00ED3A8B"/>
    <w:rsid w:val="00ED3C92"/>
    <w:rsid w:val="00ED3F31"/>
    <w:rsid w:val="00ED474D"/>
    <w:rsid w:val="00ED56D7"/>
    <w:rsid w:val="00ED6C48"/>
    <w:rsid w:val="00ED6C60"/>
    <w:rsid w:val="00ED6FE2"/>
    <w:rsid w:val="00EE195F"/>
    <w:rsid w:val="00EE3606"/>
    <w:rsid w:val="00EE7277"/>
    <w:rsid w:val="00EF1210"/>
    <w:rsid w:val="00EF2AE3"/>
    <w:rsid w:val="00EF4A31"/>
    <w:rsid w:val="00EF5D46"/>
    <w:rsid w:val="00EF7111"/>
    <w:rsid w:val="00F006EA"/>
    <w:rsid w:val="00F05672"/>
    <w:rsid w:val="00F066C2"/>
    <w:rsid w:val="00F07F57"/>
    <w:rsid w:val="00F11537"/>
    <w:rsid w:val="00F11E9B"/>
    <w:rsid w:val="00F1269F"/>
    <w:rsid w:val="00F142BA"/>
    <w:rsid w:val="00F144F8"/>
    <w:rsid w:val="00F20249"/>
    <w:rsid w:val="00F20F7C"/>
    <w:rsid w:val="00F215A5"/>
    <w:rsid w:val="00F2417E"/>
    <w:rsid w:val="00F26571"/>
    <w:rsid w:val="00F3066D"/>
    <w:rsid w:val="00F40324"/>
    <w:rsid w:val="00F42EA3"/>
    <w:rsid w:val="00F5242C"/>
    <w:rsid w:val="00F609A2"/>
    <w:rsid w:val="00F617D6"/>
    <w:rsid w:val="00F61C91"/>
    <w:rsid w:val="00F6202B"/>
    <w:rsid w:val="00F65F5D"/>
    <w:rsid w:val="00F70F97"/>
    <w:rsid w:val="00F75DE0"/>
    <w:rsid w:val="00F81351"/>
    <w:rsid w:val="00F820C0"/>
    <w:rsid w:val="00F82B74"/>
    <w:rsid w:val="00F865F0"/>
    <w:rsid w:val="00F86A3A"/>
    <w:rsid w:val="00F932F5"/>
    <w:rsid w:val="00F957B7"/>
    <w:rsid w:val="00F95F1D"/>
    <w:rsid w:val="00F97894"/>
    <w:rsid w:val="00FA0045"/>
    <w:rsid w:val="00FA0A5A"/>
    <w:rsid w:val="00FA3345"/>
    <w:rsid w:val="00FA41DB"/>
    <w:rsid w:val="00FB1365"/>
    <w:rsid w:val="00FB148A"/>
    <w:rsid w:val="00FB52C1"/>
    <w:rsid w:val="00FC0B95"/>
    <w:rsid w:val="00FC5B28"/>
    <w:rsid w:val="00FC66A5"/>
    <w:rsid w:val="00FC7F5F"/>
    <w:rsid w:val="00FD0297"/>
    <w:rsid w:val="00FD1E17"/>
    <w:rsid w:val="00FD3633"/>
    <w:rsid w:val="00FD3F15"/>
    <w:rsid w:val="00FD5285"/>
    <w:rsid w:val="00FD6A0C"/>
    <w:rsid w:val="00FD6FA4"/>
    <w:rsid w:val="00FD7FBF"/>
    <w:rsid w:val="00FE02AE"/>
    <w:rsid w:val="00FE113B"/>
    <w:rsid w:val="00FE38E9"/>
    <w:rsid w:val="00FE4C4B"/>
    <w:rsid w:val="00FE546B"/>
    <w:rsid w:val="00FE5EA5"/>
    <w:rsid w:val="00FE6D21"/>
    <w:rsid w:val="00FF1328"/>
    <w:rsid w:val="00FF2EA5"/>
    <w:rsid w:val="00FF34DA"/>
    <w:rsid w:val="00FF384A"/>
    <w:rsid w:val="00FF5612"/>
    <w:rsid w:val="00FF6FD5"/>
    <w:rsid w:val="00FF7E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758545"/>
  <w15:docId w15:val="{DD2E84C4-CDB6-4CCC-AEE3-2B1BCB89F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16928"/>
    <w:pPr>
      <w:suppressAutoHyphens/>
      <w:spacing w:after="0" w:line="240" w:lineRule="atLeast"/>
    </w:pPr>
    <w:rPr>
      <w:rFonts w:ascii="Times New Roman" w:hAnsi="Times New Roman" w:cs="Times New Roman"/>
      <w:sz w:val="20"/>
      <w:szCs w:val="20"/>
      <w:lang w:eastAsia="en-US"/>
    </w:rPr>
  </w:style>
  <w:style w:type="paragraph" w:styleId="Kop1">
    <w:name w:val="heading 1"/>
    <w:aliases w:val="Table_G"/>
    <w:basedOn w:val="SingleTxtG"/>
    <w:next w:val="SingleTxtG"/>
    <w:link w:val="Kop1Char"/>
    <w:uiPriority w:val="9"/>
    <w:qFormat/>
    <w:rsid w:val="007268F9"/>
    <w:pPr>
      <w:spacing w:after="0" w:line="240" w:lineRule="auto"/>
      <w:ind w:right="0"/>
      <w:jc w:val="left"/>
      <w:outlineLvl w:val="0"/>
    </w:pPr>
  </w:style>
  <w:style w:type="paragraph" w:styleId="Kop2">
    <w:name w:val="heading 2"/>
    <w:basedOn w:val="Standaard"/>
    <w:next w:val="Standaard"/>
    <w:link w:val="Kop2Char"/>
    <w:uiPriority w:val="9"/>
    <w:qFormat/>
    <w:rsid w:val="007268F9"/>
    <w:pPr>
      <w:spacing w:line="240" w:lineRule="auto"/>
      <w:outlineLvl w:val="1"/>
    </w:pPr>
    <w:rPr>
      <w:lang w:eastAsia="zh-CN"/>
    </w:rPr>
  </w:style>
  <w:style w:type="paragraph" w:styleId="Kop3">
    <w:name w:val="heading 3"/>
    <w:basedOn w:val="Standaard"/>
    <w:next w:val="Standaard"/>
    <w:link w:val="Kop3Char"/>
    <w:uiPriority w:val="9"/>
    <w:semiHidden/>
    <w:qFormat/>
    <w:rsid w:val="007268F9"/>
    <w:pPr>
      <w:spacing w:line="240" w:lineRule="auto"/>
      <w:outlineLvl w:val="2"/>
    </w:pPr>
    <w:rPr>
      <w:lang w:eastAsia="zh-CN"/>
    </w:rPr>
  </w:style>
  <w:style w:type="paragraph" w:styleId="Kop4">
    <w:name w:val="heading 4"/>
    <w:basedOn w:val="Standaard"/>
    <w:next w:val="Standaard"/>
    <w:link w:val="Kop4Char"/>
    <w:uiPriority w:val="9"/>
    <w:semiHidden/>
    <w:qFormat/>
    <w:rsid w:val="007268F9"/>
    <w:pPr>
      <w:spacing w:line="240" w:lineRule="auto"/>
      <w:outlineLvl w:val="3"/>
    </w:pPr>
    <w:rPr>
      <w:lang w:eastAsia="zh-CN"/>
    </w:rPr>
  </w:style>
  <w:style w:type="paragraph" w:styleId="Kop5">
    <w:name w:val="heading 5"/>
    <w:basedOn w:val="Standaard"/>
    <w:next w:val="Standaard"/>
    <w:link w:val="Kop5Char"/>
    <w:uiPriority w:val="9"/>
    <w:semiHidden/>
    <w:qFormat/>
    <w:rsid w:val="007268F9"/>
    <w:pPr>
      <w:spacing w:line="240" w:lineRule="auto"/>
      <w:outlineLvl w:val="4"/>
    </w:pPr>
    <w:rPr>
      <w:lang w:eastAsia="zh-CN"/>
    </w:rPr>
  </w:style>
  <w:style w:type="paragraph" w:styleId="Kop6">
    <w:name w:val="heading 6"/>
    <w:basedOn w:val="Standaard"/>
    <w:next w:val="Standaard"/>
    <w:link w:val="Kop6Char"/>
    <w:uiPriority w:val="9"/>
    <w:semiHidden/>
    <w:qFormat/>
    <w:rsid w:val="007268F9"/>
    <w:pPr>
      <w:spacing w:line="240" w:lineRule="auto"/>
      <w:outlineLvl w:val="5"/>
    </w:pPr>
    <w:rPr>
      <w:lang w:eastAsia="zh-CN"/>
    </w:rPr>
  </w:style>
  <w:style w:type="paragraph" w:styleId="Kop7">
    <w:name w:val="heading 7"/>
    <w:basedOn w:val="Standaard"/>
    <w:next w:val="Standaard"/>
    <w:link w:val="Kop7Char"/>
    <w:semiHidden/>
    <w:rsid w:val="007268F9"/>
    <w:pPr>
      <w:spacing w:line="240" w:lineRule="auto"/>
      <w:outlineLvl w:val="6"/>
    </w:pPr>
    <w:rPr>
      <w:lang w:eastAsia="zh-CN"/>
    </w:rPr>
  </w:style>
  <w:style w:type="paragraph" w:styleId="Kop8">
    <w:name w:val="heading 8"/>
    <w:basedOn w:val="Standaard"/>
    <w:next w:val="Standaard"/>
    <w:link w:val="Kop8Char"/>
    <w:semiHidden/>
    <w:rsid w:val="007268F9"/>
    <w:pPr>
      <w:spacing w:line="240" w:lineRule="auto"/>
      <w:outlineLvl w:val="7"/>
    </w:pPr>
    <w:rPr>
      <w:lang w:eastAsia="zh-CN"/>
    </w:rPr>
  </w:style>
  <w:style w:type="paragraph" w:styleId="Kop9">
    <w:name w:val="heading 9"/>
    <w:basedOn w:val="Standaard"/>
    <w:next w:val="Standaard"/>
    <w:link w:val="Kop9Char"/>
    <w:semiHidden/>
    <w:rsid w:val="007268F9"/>
    <w:pPr>
      <w:spacing w:line="240" w:lineRule="auto"/>
      <w:outlineLvl w:val="8"/>
    </w:pPr>
    <w:rPr>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aliases w:val="6_G"/>
    <w:basedOn w:val="Standaard"/>
    <w:link w:val="KoptekstChar"/>
    <w:uiPriority w:val="99"/>
    <w:rsid w:val="007268F9"/>
    <w:pPr>
      <w:pBdr>
        <w:bottom w:val="single" w:sz="4" w:space="4" w:color="auto"/>
      </w:pBdr>
      <w:spacing w:line="240" w:lineRule="auto"/>
    </w:pPr>
    <w:rPr>
      <w:b/>
      <w:sz w:val="18"/>
      <w:lang w:eastAsia="zh-CN"/>
    </w:rPr>
  </w:style>
  <w:style w:type="character" w:customStyle="1" w:styleId="KoptekstChar">
    <w:name w:val="Koptekst Char"/>
    <w:aliases w:val="6_G Char"/>
    <w:basedOn w:val="Standaardalinea-lettertype"/>
    <w:link w:val="Koptekst"/>
    <w:uiPriority w:val="99"/>
    <w:rsid w:val="003B4550"/>
    <w:rPr>
      <w:rFonts w:ascii="Times New Roman" w:hAnsi="Times New Roman" w:cs="Times New Roman"/>
      <w:b/>
      <w:sz w:val="18"/>
      <w:szCs w:val="20"/>
    </w:rPr>
  </w:style>
  <w:style w:type="paragraph" w:styleId="Voettekst">
    <w:name w:val="footer"/>
    <w:aliases w:val="3_G"/>
    <w:basedOn w:val="Standaard"/>
    <w:link w:val="VoettekstChar"/>
    <w:uiPriority w:val="99"/>
    <w:rsid w:val="007268F9"/>
    <w:pPr>
      <w:spacing w:line="240" w:lineRule="auto"/>
    </w:pPr>
    <w:rPr>
      <w:sz w:val="16"/>
      <w:lang w:eastAsia="zh-CN"/>
    </w:rPr>
  </w:style>
  <w:style w:type="character" w:customStyle="1" w:styleId="VoettekstChar">
    <w:name w:val="Voettekst Char"/>
    <w:aliases w:val="3_G Char"/>
    <w:basedOn w:val="Standaardalinea-lettertype"/>
    <w:link w:val="Voettekst"/>
    <w:uiPriority w:val="99"/>
    <w:rsid w:val="00247E2C"/>
    <w:rPr>
      <w:rFonts w:ascii="Times New Roman" w:eastAsia="SimSun" w:hAnsi="Times New Roman" w:cs="Times New Roman"/>
      <w:sz w:val="16"/>
      <w:szCs w:val="20"/>
    </w:rPr>
  </w:style>
  <w:style w:type="paragraph" w:customStyle="1" w:styleId="HMG">
    <w:name w:val="_ H __M_G"/>
    <w:basedOn w:val="Standaard"/>
    <w:next w:val="Standaard"/>
    <w:rsid w:val="007268F9"/>
    <w:pPr>
      <w:keepNext/>
      <w:keepLines/>
      <w:tabs>
        <w:tab w:val="right" w:pos="851"/>
      </w:tabs>
      <w:spacing w:before="240" w:after="240" w:line="360" w:lineRule="exact"/>
      <w:ind w:left="1134" w:right="1134" w:hanging="1134"/>
      <w:outlineLvl w:val="0"/>
    </w:pPr>
    <w:rPr>
      <w:b/>
      <w:sz w:val="34"/>
      <w:lang w:eastAsia="zh-CN"/>
    </w:rPr>
  </w:style>
  <w:style w:type="paragraph" w:customStyle="1" w:styleId="HChG">
    <w:name w:val="_ H _Ch_G"/>
    <w:basedOn w:val="Standaard"/>
    <w:next w:val="Standaard"/>
    <w:rsid w:val="007268F9"/>
    <w:pPr>
      <w:keepNext/>
      <w:keepLines/>
      <w:tabs>
        <w:tab w:val="right" w:pos="851"/>
      </w:tabs>
      <w:spacing w:before="360" w:after="240" w:line="300" w:lineRule="exact"/>
      <w:ind w:left="1134" w:right="1134" w:hanging="1134"/>
      <w:outlineLvl w:val="1"/>
    </w:pPr>
    <w:rPr>
      <w:b/>
      <w:sz w:val="28"/>
      <w:lang w:eastAsia="zh-CN"/>
    </w:rPr>
  </w:style>
  <w:style w:type="paragraph" w:customStyle="1" w:styleId="H1G">
    <w:name w:val="_ H_1_G"/>
    <w:basedOn w:val="Standaard"/>
    <w:next w:val="Standaard"/>
    <w:rsid w:val="007268F9"/>
    <w:pPr>
      <w:keepNext/>
      <w:keepLines/>
      <w:tabs>
        <w:tab w:val="right" w:pos="851"/>
      </w:tabs>
      <w:spacing w:before="360" w:after="240" w:line="270" w:lineRule="exact"/>
      <w:ind w:left="1134" w:right="1134" w:hanging="1134"/>
      <w:outlineLvl w:val="2"/>
    </w:pPr>
    <w:rPr>
      <w:b/>
      <w:sz w:val="24"/>
      <w:lang w:eastAsia="zh-CN"/>
    </w:rPr>
  </w:style>
  <w:style w:type="paragraph" w:customStyle="1" w:styleId="H23G">
    <w:name w:val="_ H_2/3_G"/>
    <w:basedOn w:val="Standaard"/>
    <w:next w:val="Standaard"/>
    <w:rsid w:val="007268F9"/>
    <w:pPr>
      <w:keepNext/>
      <w:keepLines/>
      <w:tabs>
        <w:tab w:val="right" w:pos="851"/>
      </w:tabs>
      <w:spacing w:before="240" w:after="120" w:line="240" w:lineRule="exact"/>
      <w:ind w:left="1134" w:right="1134" w:hanging="1134"/>
      <w:outlineLvl w:val="3"/>
    </w:pPr>
    <w:rPr>
      <w:b/>
      <w:lang w:eastAsia="zh-CN"/>
    </w:rPr>
  </w:style>
  <w:style w:type="paragraph" w:customStyle="1" w:styleId="H4G">
    <w:name w:val="_ H_4_G"/>
    <w:basedOn w:val="Standaard"/>
    <w:next w:val="Standaard"/>
    <w:rsid w:val="007268F9"/>
    <w:pPr>
      <w:keepNext/>
      <w:keepLines/>
      <w:tabs>
        <w:tab w:val="right" w:pos="851"/>
      </w:tabs>
      <w:spacing w:before="240" w:after="120" w:line="240" w:lineRule="exact"/>
      <w:ind w:left="1134" w:right="1134" w:hanging="1134"/>
      <w:outlineLvl w:val="4"/>
    </w:pPr>
    <w:rPr>
      <w:i/>
      <w:lang w:eastAsia="zh-CN"/>
    </w:rPr>
  </w:style>
  <w:style w:type="paragraph" w:customStyle="1" w:styleId="H56G">
    <w:name w:val="_ H_5/6_G"/>
    <w:basedOn w:val="Standaard"/>
    <w:next w:val="Standaard"/>
    <w:rsid w:val="007268F9"/>
    <w:pPr>
      <w:keepNext/>
      <w:keepLines/>
      <w:tabs>
        <w:tab w:val="right" w:pos="851"/>
      </w:tabs>
      <w:spacing w:before="240" w:after="120" w:line="240" w:lineRule="exact"/>
      <w:ind w:left="1134" w:right="1134" w:hanging="1134"/>
      <w:outlineLvl w:val="5"/>
    </w:pPr>
    <w:rPr>
      <w:lang w:eastAsia="zh-CN"/>
    </w:rPr>
  </w:style>
  <w:style w:type="paragraph" w:customStyle="1" w:styleId="SingleTxtG">
    <w:name w:val="_ Single Txt_G"/>
    <w:basedOn w:val="Standaard"/>
    <w:link w:val="SingleTxtGChar"/>
    <w:qFormat/>
    <w:rsid w:val="000C291C"/>
    <w:pPr>
      <w:tabs>
        <w:tab w:val="left" w:pos="1701"/>
        <w:tab w:val="left" w:pos="2268"/>
      </w:tabs>
      <w:spacing w:after="120"/>
      <w:ind w:left="1134" w:right="1134"/>
      <w:jc w:val="both"/>
    </w:pPr>
    <w:rPr>
      <w:lang w:eastAsia="zh-CN"/>
    </w:rPr>
  </w:style>
  <w:style w:type="paragraph" w:customStyle="1" w:styleId="SLG">
    <w:name w:val="__S_L_G"/>
    <w:basedOn w:val="Standaard"/>
    <w:next w:val="Standaard"/>
    <w:rsid w:val="007268F9"/>
    <w:pPr>
      <w:keepNext/>
      <w:keepLines/>
      <w:spacing w:before="240" w:after="240" w:line="580" w:lineRule="exact"/>
      <w:ind w:left="1134" w:right="1134"/>
    </w:pPr>
    <w:rPr>
      <w:b/>
      <w:sz w:val="56"/>
      <w:lang w:eastAsia="zh-CN"/>
    </w:rPr>
  </w:style>
  <w:style w:type="paragraph" w:customStyle="1" w:styleId="SMG">
    <w:name w:val="__S_M_G"/>
    <w:basedOn w:val="Standaard"/>
    <w:next w:val="Standaard"/>
    <w:rsid w:val="007268F9"/>
    <w:pPr>
      <w:keepNext/>
      <w:keepLines/>
      <w:spacing w:before="240" w:after="240" w:line="420" w:lineRule="exact"/>
      <w:ind w:left="1134" w:right="1134"/>
    </w:pPr>
    <w:rPr>
      <w:b/>
      <w:sz w:val="40"/>
      <w:lang w:eastAsia="zh-CN"/>
    </w:rPr>
  </w:style>
  <w:style w:type="paragraph" w:customStyle="1" w:styleId="SSG">
    <w:name w:val="__S_S_G"/>
    <w:basedOn w:val="Standaard"/>
    <w:next w:val="Standaard"/>
    <w:rsid w:val="007268F9"/>
    <w:pPr>
      <w:keepNext/>
      <w:keepLines/>
      <w:spacing w:before="240" w:after="240" w:line="300" w:lineRule="exact"/>
      <w:ind w:left="1134" w:right="1134"/>
    </w:pPr>
    <w:rPr>
      <w:b/>
      <w:sz w:val="28"/>
      <w:lang w:eastAsia="zh-CN"/>
    </w:rPr>
  </w:style>
  <w:style w:type="paragraph" w:customStyle="1" w:styleId="XLargeG">
    <w:name w:val="__XLarge_G"/>
    <w:basedOn w:val="Standaard"/>
    <w:next w:val="Standaard"/>
    <w:rsid w:val="007268F9"/>
    <w:pPr>
      <w:keepNext/>
      <w:keepLines/>
      <w:spacing w:before="240" w:after="240" w:line="420" w:lineRule="exact"/>
      <w:ind w:left="1134" w:right="1134"/>
    </w:pPr>
    <w:rPr>
      <w:b/>
      <w:sz w:val="40"/>
      <w:lang w:eastAsia="zh-CN"/>
    </w:rPr>
  </w:style>
  <w:style w:type="paragraph" w:customStyle="1" w:styleId="Bullet1G">
    <w:name w:val="_Bullet 1_G"/>
    <w:basedOn w:val="Standaard"/>
    <w:rsid w:val="007268F9"/>
    <w:pPr>
      <w:numPr>
        <w:numId w:val="1"/>
      </w:numPr>
      <w:spacing w:after="120"/>
      <w:ind w:right="1134"/>
      <w:jc w:val="both"/>
    </w:pPr>
    <w:rPr>
      <w:lang w:eastAsia="zh-CN"/>
    </w:rPr>
  </w:style>
  <w:style w:type="paragraph" w:customStyle="1" w:styleId="Bullet2G">
    <w:name w:val="_Bullet 2_G"/>
    <w:basedOn w:val="Standaard"/>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Geenlijst"/>
    <w:semiHidden/>
    <w:rsid w:val="007268F9"/>
    <w:pPr>
      <w:numPr>
        <w:numId w:val="4"/>
      </w:numPr>
    </w:pPr>
  </w:style>
  <w:style w:type="numbering" w:styleId="1ai">
    <w:name w:val="Outline List 1"/>
    <w:basedOn w:val="Geenlijst"/>
    <w:semiHidden/>
    <w:rsid w:val="007268F9"/>
    <w:pPr>
      <w:numPr>
        <w:numId w:val="5"/>
      </w:numPr>
    </w:pPr>
  </w:style>
  <w:style w:type="character" w:styleId="Eindnootmarkering">
    <w:name w:val="endnote reference"/>
    <w:aliases w:val="1_G"/>
    <w:rsid w:val="007268F9"/>
    <w:rPr>
      <w:rFonts w:ascii="Times New Roman" w:hAnsi="Times New Roman"/>
      <w:sz w:val="18"/>
      <w:vertAlign w:val="superscript"/>
    </w:rPr>
  </w:style>
  <w:style w:type="paragraph" w:styleId="Voetnoottekst">
    <w:name w:val="footnote text"/>
    <w:aliases w:val="5_G"/>
    <w:basedOn w:val="Standaard"/>
    <w:link w:val="VoetnoottekstChar"/>
    <w:qFormat/>
    <w:rsid w:val="007268F9"/>
    <w:pPr>
      <w:tabs>
        <w:tab w:val="right" w:pos="1021"/>
      </w:tabs>
      <w:spacing w:line="220" w:lineRule="exact"/>
      <w:ind w:left="1134" w:right="1134" w:hanging="1134"/>
    </w:pPr>
    <w:rPr>
      <w:sz w:val="18"/>
      <w:lang w:eastAsia="zh-CN"/>
    </w:rPr>
  </w:style>
  <w:style w:type="character" w:customStyle="1" w:styleId="VoetnoottekstChar">
    <w:name w:val="Voetnoottekst Char"/>
    <w:aliases w:val="5_G Char"/>
    <w:basedOn w:val="Standaardalinea-lettertype"/>
    <w:link w:val="Voetnoottekst"/>
    <w:rsid w:val="007268F9"/>
    <w:rPr>
      <w:rFonts w:ascii="Times New Roman" w:eastAsia="SimSun" w:hAnsi="Times New Roman" w:cs="Times New Roman"/>
      <w:sz w:val="18"/>
      <w:szCs w:val="20"/>
    </w:rPr>
  </w:style>
  <w:style w:type="paragraph" w:styleId="Eindnoottekst">
    <w:name w:val="endnote text"/>
    <w:aliases w:val="2_G"/>
    <w:basedOn w:val="Voetnoottekst"/>
    <w:link w:val="EindnoottekstChar"/>
    <w:uiPriority w:val="99"/>
    <w:rsid w:val="007268F9"/>
  </w:style>
  <w:style w:type="character" w:customStyle="1" w:styleId="EindnoottekstChar">
    <w:name w:val="Eindnoottekst Char"/>
    <w:aliases w:val="2_G Char"/>
    <w:basedOn w:val="Standaardalinea-lettertype"/>
    <w:link w:val="Eindnoottekst"/>
    <w:uiPriority w:val="99"/>
    <w:rsid w:val="007268F9"/>
    <w:rPr>
      <w:rFonts w:ascii="Times New Roman" w:eastAsia="SimSun" w:hAnsi="Times New Roman" w:cs="Times New Roman"/>
      <w:sz w:val="18"/>
      <w:szCs w:val="20"/>
    </w:rPr>
  </w:style>
  <w:style w:type="character" w:styleId="Voetnootmarkering">
    <w:name w:val="footnote reference"/>
    <w:aliases w:val="4_G"/>
    <w:qFormat/>
    <w:rsid w:val="007268F9"/>
    <w:rPr>
      <w:rFonts w:ascii="Times New Roman" w:hAnsi="Times New Roman"/>
      <w:sz w:val="18"/>
      <w:vertAlign w:val="superscript"/>
    </w:rPr>
  </w:style>
  <w:style w:type="character" w:customStyle="1" w:styleId="Kop1Char">
    <w:name w:val="Kop 1 Char"/>
    <w:aliases w:val="Table_G Char"/>
    <w:basedOn w:val="Standaardalinea-lettertype"/>
    <w:link w:val="Kop1"/>
    <w:uiPriority w:val="9"/>
    <w:rsid w:val="003B4550"/>
    <w:rPr>
      <w:rFonts w:ascii="Times New Roman" w:hAnsi="Times New Roman" w:cs="Times New Roman"/>
      <w:sz w:val="20"/>
      <w:szCs w:val="20"/>
    </w:rPr>
  </w:style>
  <w:style w:type="character" w:customStyle="1" w:styleId="Kop2Char">
    <w:name w:val="Kop 2 Char"/>
    <w:basedOn w:val="Standaardalinea-lettertype"/>
    <w:link w:val="Kop2"/>
    <w:uiPriority w:val="9"/>
    <w:rsid w:val="003B4550"/>
    <w:rPr>
      <w:rFonts w:ascii="Times New Roman" w:hAnsi="Times New Roman" w:cs="Times New Roman"/>
      <w:sz w:val="20"/>
      <w:szCs w:val="20"/>
    </w:rPr>
  </w:style>
  <w:style w:type="character" w:customStyle="1" w:styleId="Kop3Char">
    <w:name w:val="Kop 3 Char"/>
    <w:basedOn w:val="Standaardalinea-lettertype"/>
    <w:link w:val="Kop3"/>
    <w:semiHidden/>
    <w:rsid w:val="003B4550"/>
    <w:rPr>
      <w:rFonts w:ascii="Times New Roman" w:hAnsi="Times New Roman" w:cs="Times New Roman"/>
      <w:sz w:val="20"/>
      <w:szCs w:val="20"/>
    </w:rPr>
  </w:style>
  <w:style w:type="character" w:customStyle="1" w:styleId="Kop4Char">
    <w:name w:val="Kop 4 Char"/>
    <w:basedOn w:val="Standaardalinea-lettertype"/>
    <w:link w:val="Kop4"/>
    <w:semiHidden/>
    <w:rsid w:val="003B4550"/>
    <w:rPr>
      <w:rFonts w:ascii="Times New Roman" w:hAnsi="Times New Roman" w:cs="Times New Roman"/>
      <w:sz w:val="20"/>
      <w:szCs w:val="20"/>
    </w:rPr>
  </w:style>
  <w:style w:type="character" w:customStyle="1" w:styleId="Kop5Char">
    <w:name w:val="Kop 5 Char"/>
    <w:basedOn w:val="Standaardalinea-lettertype"/>
    <w:link w:val="Kop5"/>
    <w:semiHidden/>
    <w:rsid w:val="003B4550"/>
    <w:rPr>
      <w:rFonts w:ascii="Times New Roman" w:hAnsi="Times New Roman" w:cs="Times New Roman"/>
      <w:sz w:val="20"/>
      <w:szCs w:val="20"/>
    </w:rPr>
  </w:style>
  <w:style w:type="character" w:customStyle="1" w:styleId="Kop6Char">
    <w:name w:val="Kop 6 Char"/>
    <w:basedOn w:val="Standaardalinea-lettertype"/>
    <w:link w:val="Kop6"/>
    <w:semiHidden/>
    <w:rsid w:val="003B4550"/>
    <w:rPr>
      <w:rFonts w:ascii="Times New Roman" w:hAnsi="Times New Roman" w:cs="Times New Roman"/>
      <w:sz w:val="20"/>
      <w:szCs w:val="20"/>
    </w:rPr>
  </w:style>
  <w:style w:type="character" w:customStyle="1" w:styleId="Kop7Char">
    <w:name w:val="Kop 7 Char"/>
    <w:basedOn w:val="Standaardalinea-lettertype"/>
    <w:link w:val="Kop7"/>
    <w:semiHidden/>
    <w:rsid w:val="003B4550"/>
    <w:rPr>
      <w:rFonts w:ascii="Times New Roman" w:hAnsi="Times New Roman" w:cs="Times New Roman"/>
      <w:sz w:val="20"/>
      <w:szCs w:val="20"/>
    </w:rPr>
  </w:style>
  <w:style w:type="character" w:customStyle="1" w:styleId="Kop8Char">
    <w:name w:val="Kop 8 Char"/>
    <w:basedOn w:val="Standaardalinea-lettertype"/>
    <w:link w:val="Kop8"/>
    <w:semiHidden/>
    <w:rsid w:val="003B4550"/>
    <w:rPr>
      <w:rFonts w:ascii="Times New Roman" w:hAnsi="Times New Roman" w:cs="Times New Roman"/>
      <w:sz w:val="20"/>
      <w:szCs w:val="20"/>
    </w:rPr>
  </w:style>
  <w:style w:type="character" w:customStyle="1" w:styleId="Kop9Char">
    <w:name w:val="Kop 9 Char"/>
    <w:basedOn w:val="Standaardalinea-lettertype"/>
    <w:link w:val="Kop9"/>
    <w:semiHidden/>
    <w:rsid w:val="003B4550"/>
    <w:rPr>
      <w:rFonts w:ascii="Times New Roman" w:hAnsi="Times New Roman" w:cs="Times New Roman"/>
      <w:sz w:val="20"/>
      <w:szCs w:val="20"/>
    </w:rPr>
  </w:style>
  <w:style w:type="character" w:styleId="Paginanummer">
    <w:name w:val="page number"/>
    <w:aliases w:val="7_G"/>
    <w:semiHidden/>
    <w:rsid w:val="007268F9"/>
    <w:rPr>
      <w:rFonts w:ascii="Times New Roman" w:hAnsi="Times New Roman"/>
      <w:b/>
      <w:sz w:val="18"/>
    </w:rPr>
  </w:style>
  <w:style w:type="character" w:styleId="Titelvanboek">
    <w:name w:val="Book Title"/>
    <w:basedOn w:val="Standaardalinea-lettertype"/>
    <w:uiPriority w:val="33"/>
    <w:semiHidden/>
    <w:rsid w:val="007268F9"/>
    <w:rPr>
      <w:b/>
      <w:bCs/>
      <w:smallCaps/>
      <w:spacing w:val="5"/>
    </w:rPr>
  </w:style>
  <w:style w:type="table" w:styleId="Tabelraster">
    <w:name w:val="Table Grid"/>
    <w:basedOn w:val="Standaardtabel"/>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C9007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9007B"/>
    <w:rPr>
      <w:rFonts w:ascii="Tahoma" w:hAnsi="Tahoma" w:cs="Tahoma"/>
      <w:sz w:val="16"/>
      <w:szCs w:val="16"/>
      <w:lang w:eastAsia="en-US"/>
    </w:rPr>
  </w:style>
  <w:style w:type="character" w:customStyle="1" w:styleId="SingleTxtGChar">
    <w:name w:val="_ Single Txt_G Char"/>
    <w:basedOn w:val="Standaardalinea-lettertype"/>
    <w:link w:val="SingleTxtG"/>
    <w:rsid w:val="000C291C"/>
    <w:rPr>
      <w:rFonts w:ascii="Times New Roman" w:hAnsi="Times New Roman" w:cs="Times New Roman"/>
      <w:sz w:val="20"/>
      <w:szCs w:val="20"/>
    </w:rPr>
  </w:style>
  <w:style w:type="character" w:styleId="Hyperlink">
    <w:name w:val="Hyperlink"/>
    <w:basedOn w:val="Standaardalinea-lettertype"/>
    <w:uiPriority w:val="99"/>
    <w:unhideWhenUsed/>
    <w:rsid w:val="001506D3"/>
    <w:rPr>
      <w:color w:val="0000FF" w:themeColor="hyperlink"/>
      <w:u w:val="none"/>
    </w:rPr>
  </w:style>
  <w:style w:type="character" w:customStyle="1" w:styleId="UnresolvedMention1">
    <w:name w:val="Unresolved Mention1"/>
    <w:basedOn w:val="Standaardalinea-lettertype"/>
    <w:uiPriority w:val="99"/>
    <w:semiHidden/>
    <w:unhideWhenUsed/>
    <w:rsid w:val="001506D3"/>
    <w:rPr>
      <w:color w:val="605E5C"/>
      <w:shd w:val="clear" w:color="auto" w:fill="E1DFDD"/>
    </w:rPr>
  </w:style>
  <w:style w:type="paragraph" w:styleId="Titel">
    <w:name w:val="Title"/>
    <w:basedOn w:val="Standaard"/>
    <w:next w:val="Standaard"/>
    <w:link w:val="TitelChar"/>
    <w:uiPriority w:val="10"/>
    <w:qFormat/>
    <w:rsid w:val="003C5AB4"/>
    <w:pPr>
      <w:keepNext/>
      <w:keepLines/>
      <w:suppressAutoHyphens w:val="0"/>
      <w:spacing w:after="60" w:line="276" w:lineRule="auto"/>
      <w:ind w:left="357" w:hanging="357"/>
    </w:pPr>
    <w:rPr>
      <w:rFonts w:ascii="Arial" w:eastAsia="Arial" w:hAnsi="Arial" w:cs="Arial"/>
      <w:sz w:val="52"/>
      <w:szCs w:val="52"/>
      <w:lang w:eastAsia="en-GB"/>
    </w:rPr>
  </w:style>
  <w:style w:type="character" w:customStyle="1" w:styleId="TitelChar">
    <w:name w:val="Titel Char"/>
    <w:basedOn w:val="Standaardalinea-lettertype"/>
    <w:link w:val="Titel"/>
    <w:uiPriority w:val="10"/>
    <w:rsid w:val="003C5AB4"/>
    <w:rPr>
      <w:rFonts w:ascii="Arial" w:eastAsia="Arial" w:hAnsi="Arial" w:cs="Arial"/>
      <w:sz w:val="52"/>
      <w:szCs w:val="52"/>
      <w:lang w:eastAsia="en-GB"/>
    </w:rPr>
  </w:style>
  <w:style w:type="paragraph" w:styleId="Ondertitel">
    <w:name w:val="Subtitle"/>
    <w:basedOn w:val="Standaard"/>
    <w:next w:val="Standaard"/>
    <w:link w:val="OndertitelChar"/>
    <w:uiPriority w:val="11"/>
    <w:qFormat/>
    <w:rsid w:val="003C5AB4"/>
    <w:pPr>
      <w:keepNext/>
      <w:keepLines/>
      <w:suppressAutoHyphens w:val="0"/>
      <w:spacing w:after="320" w:line="276" w:lineRule="auto"/>
      <w:ind w:left="357" w:hanging="357"/>
    </w:pPr>
    <w:rPr>
      <w:rFonts w:ascii="Arial" w:eastAsia="Arial" w:hAnsi="Arial" w:cs="Arial"/>
      <w:color w:val="666666"/>
      <w:sz w:val="30"/>
      <w:szCs w:val="30"/>
      <w:lang w:eastAsia="en-GB"/>
    </w:rPr>
  </w:style>
  <w:style w:type="character" w:customStyle="1" w:styleId="OndertitelChar">
    <w:name w:val="Ondertitel Char"/>
    <w:basedOn w:val="Standaardalinea-lettertype"/>
    <w:link w:val="Ondertitel"/>
    <w:uiPriority w:val="11"/>
    <w:rsid w:val="003C5AB4"/>
    <w:rPr>
      <w:rFonts w:ascii="Arial" w:eastAsia="Arial" w:hAnsi="Arial" w:cs="Arial"/>
      <w:color w:val="666666"/>
      <w:sz w:val="30"/>
      <w:szCs w:val="30"/>
      <w:lang w:eastAsia="en-GB"/>
    </w:rPr>
  </w:style>
  <w:style w:type="paragraph" w:styleId="Lijstalinea">
    <w:name w:val="List Paragraph"/>
    <w:basedOn w:val="Standaard"/>
    <w:uiPriority w:val="34"/>
    <w:qFormat/>
    <w:rsid w:val="003C5AB4"/>
    <w:pPr>
      <w:suppressAutoHyphens w:val="0"/>
      <w:spacing w:line="276" w:lineRule="auto"/>
      <w:ind w:left="720" w:hanging="357"/>
      <w:contextualSpacing/>
    </w:pPr>
    <w:rPr>
      <w:rFonts w:ascii="Arial" w:eastAsia="Arial" w:hAnsi="Arial" w:cs="Arial"/>
      <w:sz w:val="22"/>
      <w:szCs w:val="22"/>
      <w:lang w:eastAsia="en-GB"/>
    </w:rPr>
  </w:style>
  <w:style w:type="character" w:customStyle="1" w:styleId="UnresolvedMention2">
    <w:name w:val="Unresolved Mention2"/>
    <w:basedOn w:val="Standaardalinea-lettertype"/>
    <w:uiPriority w:val="99"/>
    <w:semiHidden/>
    <w:unhideWhenUsed/>
    <w:rsid w:val="003C5AB4"/>
    <w:rPr>
      <w:color w:val="605E5C"/>
      <w:shd w:val="clear" w:color="auto" w:fill="E1DFDD"/>
    </w:rPr>
  </w:style>
  <w:style w:type="character" w:styleId="Verwijzingopmerking">
    <w:name w:val="annotation reference"/>
    <w:basedOn w:val="Standaardalinea-lettertype"/>
    <w:uiPriority w:val="99"/>
    <w:semiHidden/>
    <w:unhideWhenUsed/>
    <w:rsid w:val="003C5AB4"/>
    <w:rPr>
      <w:sz w:val="16"/>
      <w:szCs w:val="16"/>
    </w:rPr>
  </w:style>
  <w:style w:type="paragraph" w:styleId="Tekstopmerking">
    <w:name w:val="annotation text"/>
    <w:basedOn w:val="Standaard"/>
    <w:link w:val="TekstopmerkingChar"/>
    <w:uiPriority w:val="99"/>
    <w:unhideWhenUsed/>
    <w:rsid w:val="003C5AB4"/>
    <w:pPr>
      <w:suppressAutoHyphens w:val="0"/>
      <w:spacing w:line="240" w:lineRule="auto"/>
      <w:ind w:left="357" w:hanging="357"/>
      <w:contextualSpacing/>
    </w:pPr>
    <w:rPr>
      <w:rFonts w:asciiTheme="minorHAnsi" w:eastAsiaTheme="minorHAnsi" w:hAnsiTheme="minorHAnsi" w:cstheme="minorBidi"/>
      <w:iCs/>
    </w:rPr>
  </w:style>
  <w:style w:type="character" w:customStyle="1" w:styleId="TekstopmerkingChar">
    <w:name w:val="Tekst opmerking Char"/>
    <w:basedOn w:val="Standaardalinea-lettertype"/>
    <w:link w:val="Tekstopmerking"/>
    <w:uiPriority w:val="99"/>
    <w:rsid w:val="003C5AB4"/>
    <w:rPr>
      <w:rFonts w:eastAsiaTheme="minorHAnsi"/>
      <w:iCs/>
      <w:sz w:val="20"/>
      <w:szCs w:val="20"/>
      <w:lang w:eastAsia="en-US"/>
    </w:rPr>
  </w:style>
  <w:style w:type="character" w:styleId="GevolgdeHyperlink">
    <w:name w:val="FollowedHyperlink"/>
    <w:basedOn w:val="Standaardalinea-lettertype"/>
    <w:uiPriority w:val="99"/>
    <w:semiHidden/>
    <w:unhideWhenUsed/>
    <w:rsid w:val="003C5AB4"/>
    <w:rPr>
      <w:color w:val="800080"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3C5AB4"/>
    <w:pPr>
      <w:contextualSpacing w:val="0"/>
    </w:pPr>
    <w:rPr>
      <w:rFonts w:ascii="Arial" w:eastAsia="Arial" w:hAnsi="Arial" w:cs="Arial"/>
      <w:b/>
      <w:bCs/>
      <w:iCs w:val="0"/>
      <w:lang w:eastAsia="en-GB"/>
    </w:rPr>
  </w:style>
  <w:style w:type="character" w:customStyle="1" w:styleId="OnderwerpvanopmerkingChar">
    <w:name w:val="Onderwerp van opmerking Char"/>
    <w:basedOn w:val="TekstopmerkingChar"/>
    <w:link w:val="Onderwerpvanopmerking"/>
    <w:uiPriority w:val="99"/>
    <w:semiHidden/>
    <w:rsid w:val="003C5AB4"/>
    <w:rPr>
      <w:rFonts w:ascii="Arial" w:eastAsia="Arial" w:hAnsi="Arial" w:cs="Arial"/>
      <w:b/>
      <w:bCs/>
      <w:iCs w:val="0"/>
      <w:sz w:val="20"/>
      <w:szCs w:val="20"/>
      <w:lang w:eastAsia="en-GB"/>
    </w:rPr>
  </w:style>
  <w:style w:type="paragraph" w:styleId="Revisie">
    <w:name w:val="Revision"/>
    <w:hidden/>
    <w:uiPriority w:val="99"/>
    <w:semiHidden/>
    <w:rsid w:val="003C5AB4"/>
    <w:pPr>
      <w:spacing w:after="0" w:line="240" w:lineRule="auto"/>
      <w:ind w:left="357" w:hanging="357"/>
    </w:pPr>
    <w:rPr>
      <w:rFonts w:ascii="Arial" w:eastAsia="Arial" w:hAnsi="Arial" w:cs="Arial"/>
      <w:lang w:eastAsia="en-GB"/>
    </w:rPr>
  </w:style>
  <w:style w:type="paragraph" w:styleId="Normaalweb">
    <w:name w:val="Normal (Web)"/>
    <w:basedOn w:val="Standaard"/>
    <w:uiPriority w:val="99"/>
    <w:semiHidden/>
    <w:unhideWhenUsed/>
    <w:rsid w:val="003C5AB4"/>
    <w:pPr>
      <w:suppressAutoHyphens w:val="0"/>
      <w:spacing w:line="276" w:lineRule="auto"/>
      <w:ind w:left="357" w:hanging="357"/>
    </w:pPr>
    <w:rPr>
      <w:rFonts w:eastAsia="Arial"/>
      <w:sz w:val="24"/>
      <w:szCs w:val="24"/>
      <w:lang w:eastAsia="en-GB"/>
    </w:rPr>
  </w:style>
  <w:style w:type="character" w:customStyle="1" w:styleId="apple-converted-space">
    <w:name w:val="apple-converted-space"/>
    <w:basedOn w:val="Standaardalinea-lettertype"/>
    <w:rsid w:val="003C5AB4"/>
  </w:style>
  <w:style w:type="table" w:customStyle="1" w:styleId="TableGrid1">
    <w:name w:val="Table Grid1"/>
    <w:basedOn w:val="Standaardtabel"/>
    <w:next w:val="Tabelraster"/>
    <w:rsid w:val="008B7361"/>
    <w:pPr>
      <w:suppressAutoHyphens/>
      <w:spacing w:after="0" w:line="240" w:lineRule="atLeast"/>
    </w:pPr>
    <w:rPr>
      <w:rFonts w:ascii="Times New Roman" w:eastAsiaTheme="minorHAnsi" w:hAnsi="Times New Roman" w:cs="Times New Roman"/>
      <w:sz w:val="20"/>
      <w:szCs w:val="20"/>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2">
    <w:name w:val="Table Grid2"/>
    <w:basedOn w:val="Standaardtabel"/>
    <w:next w:val="Tabelraster"/>
    <w:rsid w:val="008B7361"/>
    <w:pPr>
      <w:suppressAutoHyphens/>
      <w:spacing w:after="0" w:line="240" w:lineRule="atLeast"/>
    </w:pPr>
    <w:rPr>
      <w:rFonts w:ascii="Times New Roman" w:eastAsiaTheme="minorHAnsi" w:hAnsi="Times New Roman" w:cs="Times New Roman"/>
      <w:sz w:val="20"/>
      <w:szCs w:val="20"/>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UnresolvedMention3">
    <w:name w:val="Unresolved Mention3"/>
    <w:basedOn w:val="Standaardalinea-lettertype"/>
    <w:uiPriority w:val="99"/>
    <w:semiHidden/>
    <w:unhideWhenUsed/>
    <w:rsid w:val="00D50835"/>
    <w:rPr>
      <w:color w:val="605E5C"/>
      <w:shd w:val="clear" w:color="auto" w:fill="E1DFDD"/>
    </w:rPr>
  </w:style>
  <w:style w:type="character" w:styleId="Zwaar">
    <w:name w:val="Strong"/>
    <w:basedOn w:val="Standaardalinea-lettertype"/>
    <w:uiPriority w:val="22"/>
    <w:qFormat/>
    <w:rsid w:val="009E658F"/>
    <w:rPr>
      <w:b/>
      <w:bCs/>
    </w:rPr>
  </w:style>
  <w:style w:type="character" w:customStyle="1" w:styleId="UnresolvedMention4">
    <w:name w:val="Unresolved Mention4"/>
    <w:basedOn w:val="Standaardalinea-lettertype"/>
    <w:uiPriority w:val="99"/>
    <w:semiHidden/>
    <w:unhideWhenUsed/>
    <w:rsid w:val="006756C3"/>
    <w:rPr>
      <w:color w:val="605E5C"/>
      <w:shd w:val="clear" w:color="auto" w:fill="E1DFDD"/>
    </w:rPr>
  </w:style>
  <w:style w:type="paragraph" w:customStyle="1" w:styleId="xmsonormal">
    <w:name w:val="x_msonormal"/>
    <w:basedOn w:val="Standaard"/>
    <w:rsid w:val="00EF2AE3"/>
    <w:pPr>
      <w:suppressAutoHyphens w:val="0"/>
      <w:spacing w:line="240" w:lineRule="auto"/>
    </w:pPr>
    <w:rPr>
      <w:rFonts w:ascii="Calibri" w:eastAsia="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254945398">
      <w:bodyDiv w:val="1"/>
      <w:marLeft w:val="0"/>
      <w:marRight w:val="0"/>
      <w:marTop w:val="0"/>
      <w:marBottom w:val="0"/>
      <w:divBdr>
        <w:top w:val="none" w:sz="0" w:space="0" w:color="auto"/>
        <w:left w:val="none" w:sz="0" w:space="0" w:color="auto"/>
        <w:bottom w:val="none" w:sz="0" w:space="0" w:color="auto"/>
        <w:right w:val="none" w:sz="0" w:space="0" w:color="auto"/>
      </w:divBdr>
    </w:div>
    <w:div w:id="276520756">
      <w:bodyDiv w:val="1"/>
      <w:marLeft w:val="0"/>
      <w:marRight w:val="0"/>
      <w:marTop w:val="0"/>
      <w:marBottom w:val="0"/>
      <w:divBdr>
        <w:top w:val="none" w:sz="0" w:space="0" w:color="auto"/>
        <w:left w:val="none" w:sz="0" w:space="0" w:color="auto"/>
        <w:bottom w:val="none" w:sz="0" w:space="0" w:color="auto"/>
        <w:right w:val="none" w:sz="0" w:space="0" w:color="auto"/>
      </w:divBdr>
    </w:div>
    <w:div w:id="442697241">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800004195">
      <w:bodyDiv w:val="1"/>
      <w:marLeft w:val="0"/>
      <w:marRight w:val="0"/>
      <w:marTop w:val="0"/>
      <w:marBottom w:val="0"/>
      <w:divBdr>
        <w:top w:val="none" w:sz="0" w:space="0" w:color="auto"/>
        <w:left w:val="none" w:sz="0" w:space="0" w:color="auto"/>
        <w:bottom w:val="none" w:sz="0" w:space="0" w:color="auto"/>
        <w:right w:val="none" w:sz="0" w:space="0" w:color="auto"/>
      </w:divBdr>
    </w:div>
    <w:div w:id="804007585">
      <w:bodyDiv w:val="1"/>
      <w:marLeft w:val="0"/>
      <w:marRight w:val="0"/>
      <w:marTop w:val="0"/>
      <w:marBottom w:val="0"/>
      <w:divBdr>
        <w:top w:val="none" w:sz="0" w:space="0" w:color="auto"/>
        <w:left w:val="none" w:sz="0" w:space="0" w:color="auto"/>
        <w:bottom w:val="none" w:sz="0" w:space="0" w:color="auto"/>
        <w:right w:val="none" w:sz="0" w:space="0" w:color="auto"/>
      </w:divBdr>
    </w:div>
    <w:div w:id="875241395">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157843303">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643580612">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undocs.org/fr/CRPD/C/15/4/Corr.1" TargetMode="External"/><Relationship Id="rId1" Type="http://schemas.openxmlformats.org/officeDocument/2006/relationships/hyperlink" Target="http://undocs.org/fr/CRPD/C/1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FD6C9-A0B4-4374-82A8-E679F5B4B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11449</Words>
  <Characters>65265</Characters>
  <Application>Microsoft Office Word</Application>
  <DocSecurity>0</DocSecurity>
  <Lines>543</Lines>
  <Paragraphs>153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CRPD/C/26/R.2</vt:lpstr>
      <vt:lpstr>CRPD/C/26/R.2</vt:lpstr>
    </vt:vector>
  </TitlesOfParts>
  <Company>DCM</Company>
  <LinksUpToDate>false</LinksUpToDate>
  <CharactersWithSpaces>76561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CRPD/C/26/R.2</dc:title>
  <dc:subject>2201898</dc:subject>
  <dc:creator>AVT</dc:creator>
  <cp:keywords>, docId:78B7DFE3123070332A36A318CE0F5D2F</cp:keywords>
  <dc:description/>
  <cp:lastModifiedBy>Lommelen Joachim</cp:lastModifiedBy>
  <cp:revision>2</cp:revision>
  <dcterms:created xsi:type="dcterms:W3CDTF">2023-05-02T14:14:00Z</dcterms:created>
  <dcterms:modified xsi:type="dcterms:W3CDTF">2023-05-02T14:14:00Z</dcterms:modified>
</cp:coreProperties>
</file>